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5530E" w:rsidRPr="0045530E" w:rsidRDefault="0045530E" w:rsidP="0045530E">
      <w:pPr>
        <w:shd w:val="clear" w:color="auto" w:fill="EDF9FF"/>
        <w:spacing w:after="0" w:line="240" w:lineRule="auto"/>
        <w:textAlignment w:val="baseline"/>
        <w:outlineLvl w:val="0"/>
        <w:rPr>
          <w:rFonts w:ascii="Arial" w:eastAsia="Times New Roman" w:hAnsi="Arial" w:cs="Arial"/>
          <w:caps/>
          <w:color w:val="173F54"/>
          <w:kern w:val="36"/>
          <w:sz w:val="39"/>
          <w:szCs w:val="39"/>
          <w:lang w:eastAsia="tr-TR"/>
        </w:rPr>
      </w:pPr>
      <w:r w:rsidRPr="0045530E">
        <w:rPr>
          <w:rFonts w:ascii="Arial" w:eastAsia="Times New Roman" w:hAnsi="Arial" w:cs="Arial"/>
          <w:caps/>
          <w:color w:val="173F54"/>
          <w:kern w:val="36"/>
          <w:sz w:val="39"/>
          <w:szCs w:val="39"/>
          <w:lang w:eastAsia="tr-TR"/>
        </w:rPr>
        <w:t>LABEL: </w:t>
      </w:r>
      <w:r w:rsidRPr="0045530E">
        <w:rPr>
          <w:rFonts w:ascii="Arial" w:eastAsia="Times New Roman" w:hAnsi="Arial" w:cs="Arial"/>
          <w:color w:val="1D86BB"/>
          <w:kern w:val="36"/>
          <w:sz w:val="30"/>
          <w:szCs w:val="30"/>
          <w:bdr w:val="none" w:sz="0" w:space="0" w:color="auto" w:frame="1"/>
          <w:lang w:eastAsia="tr-TR"/>
        </w:rPr>
        <w:t>CELECOXIB 400 MG- celecoxib capsule </w:t>
      </w:r>
      <w:r w:rsidRPr="0045530E">
        <w:rPr>
          <w:rFonts w:ascii="Arial" w:eastAsia="Times New Roman" w:hAnsi="Arial" w:cs="Arial"/>
          <w:color w:val="1D86BB"/>
          <w:kern w:val="36"/>
          <w:sz w:val="30"/>
          <w:szCs w:val="30"/>
          <w:bdr w:val="none" w:sz="0" w:space="0" w:color="auto" w:frame="1"/>
          <w:lang w:eastAsia="tr-TR"/>
        </w:rPr>
        <w:br/>
      </w:r>
    </w:p>
    <w:p w:rsidR="0045530E" w:rsidRPr="0045530E" w:rsidRDefault="0045530E" w:rsidP="0045530E">
      <w:pPr>
        <w:numPr>
          <w:ilvl w:val="0"/>
          <w:numId w:val="1"/>
        </w:numPr>
        <w:shd w:val="clear" w:color="auto" w:fill="EDF9FF"/>
        <w:spacing w:after="0" w:line="240" w:lineRule="auto"/>
        <w:ind w:left="360"/>
        <w:textAlignment w:val="baseline"/>
        <w:rPr>
          <w:rFonts w:ascii="inherit" w:eastAsia="Times New Roman" w:hAnsi="inherit" w:cs="Arial"/>
          <w:color w:val="222222"/>
          <w:sz w:val="21"/>
          <w:szCs w:val="21"/>
          <w:lang w:eastAsia="tr-TR"/>
        </w:rPr>
      </w:pPr>
      <w:hyperlink r:id="rId6" w:anchor="modal-label-rss" w:history="1">
        <w:r w:rsidRPr="0045530E">
          <w:rPr>
            <w:rFonts w:ascii="inherit" w:eastAsia="Times New Roman" w:hAnsi="inherit" w:cs="Arial"/>
            <w:color w:val="0000FF"/>
            <w:sz w:val="21"/>
            <w:szCs w:val="21"/>
            <w:u w:val="single"/>
            <w:bdr w:val="none" w:sz="0" w:space="0" w:color="auto" w:frame="1"/>
            <w:lang w:eastAsia="tr-TR"/>
          </w:rPr>
          <w:t>LABEL RSS</w:t>
        </w:r>
      </w:hyperlink>
    </w:p>
    <w:p w:rsidR="0045530E" w:rsidRPr="0045530E" w:rsidRDefault="0045530E" w:rsidP="0045530E">
      <w:pPr>
        <w:numPr>
          <w:ilvl w:val="0"/>
          <w:numId w:val="1"/>
        </w:numPr>
        <w:shd w:val="clear" w:color="auto" w:fill="EDF9FF"/>
        <w:spacing w:after="0" w:line="240" w:lineRule="auto"/>
        <w:ind w:left="36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SHARE </w:t>
      </w:r>
    </w:p>
    <w:p w:rsidR="0045530E" w:rsidRPr="0045530E" w:rsidRDefault="0045530E" w:rsidP="0045530E">
      <w:pPr>
        <w:shd w:val="clear" w:color="auto" w:fill="EDF9FF"/>
        <w:spacing w:line="240" w:lineRule="auto"/>
        <w:ind w:left="36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fldChar w:fldCharType="begin"/>
      </w:r>
      <w:r w:rsidRPr="0045530E">
        <w:rPr>
          <w:rFonts w:ascii="inherit" w:eastAsia="Times New Roman" w:hAnsi="inherit" w:cs="Arial"/>
          <w:color w:val="222222"/>
          <w:sz w:val="21"/>
          <w:szCs w:val="21"/>
          <w:lang w:eastAsia="tr-TR"/>
        </w:rPr>
        <w:instrText xml:space="preserve"> HYPERLINK "https://www.addthis.com/bookmark.php?pub=DailyMed&amp;title=DailyMed" \o "Bookmark &amp; Share" \t "_blank" </w:instrText>
      </w:r>
      <w:r w:rsidRPr="0045530E">
        <w:rPr>
          <w:rFonts w:ascii="inherit" w:eastAsia="Times New Roman" w:hAnsi="inherit" w:cs="Arial"/>
          <w:color w:val="222222"/>
          <w:sz w:val="21"/>
          <w:szCs w:val="21"/>
          <w:lang w:eastAsia="tr-TR"/>
        </w:rPr>
        <w:fldChar w:fldCharType="separate"/>
      </w:r>
      <w:r w:rsidRPr="0045530E">
        <w:rPr>
          <w:rFonts w:ascii="inherit" w:eastAsia="Times New Roman" w:hAnsi="inherit" w:cs="Arial"/>
          <w:color w:val="0000FF"/>
          <w:sz w:val="21"/>
          <w:szCs w:val="21"/>
          <w:u w:val="single"/>
          <w:bdr w:val="none" w:sz="0" w:space="0" w:color="auto" w:frame="1"/>
          <w:lang w:eastAsia="tr-TR"/>
        </w:rPr>
        <w:t>BOOKMARK &amp; SHARE</w:t>
      </w:r>
      <w:bookmarkStart w:id="0" w:name="_GoBack"/>
      <w:bookmarkEnd w:id="0"/>
      <w:r w:rsidRPr="0045530E">
        <w:rPr>
          <w:rFonts w:ascii="inherit" w:eastAsia="Times New Roman" w:hAnsi="inherit" w:cs="Arial"/>
          <w:color w:val="222222"/>
          <w:sz w:val="21"/>
          <w:szCs w:val="21"/>
          <w:lang w:eastAsia="tr-TR"/>
        </w:rPr>
        <w:fldChar w:fldCharType="end"/>
      </w:r>
    </w:p>
    <w:p w:rsidR="0045530E" w:rsidRPr="0045530E" w:rsidRDefault="0045530E" w:rsidP="0045530E">
      <w:pPr>
        <w:shd w:val="clear" w:color="auto" w:fill="FFFFFF"/>
        <w:spacing w:after="0" w:line="240" w:lineRule="auto"/>
        <w:textAlignment w:val="baseline"/>
        <w:outlineLvl w:val="1"/>
        <w:rPr>
          <w:rFonts w:ascii="Arial" w:eastAsia="Times New Roman" w:hAnsi="Arial" w:cs="Arial"/>
          <w:color w:val="173F54"/>
          <w:sz w:val="38"/>
          <w:szCs w:val="38"/>
          <w:lang w:eastAsia="tr-TR"/>
        </w:rPr>
      </w:pPr>
      <w:r w:rsidRPr="0045530E">
        <w:rPr>
          <w:rFonts w:ascii="Arial" w:eastAsia="Times New Roman" w:hAnsi="Arial" w:cs="Arial"/>
          <w:color w:val="173F54"/>
          <w:sz w:val="38"/>
          <w:szCs w:val="38"/>
          <w:lang w:eastAsia="tr-TR"/>
        </w:rPr>
        <w:t>VIEW PACKAGE PHOTOS</w:t>
      </w:r>
    </w:p>
    <w:p w:rsidR="0045530E" w:rsidRPr="0045530E" w:rsidRDefault="0045530E" w:rsidP="0045530E">
      <w:pPr>
        <w:numPr>
          <w:ilvl w:val="0"/>
          <w:numId w:val="2"/>
        </w:numPr>
        <w:shd w:val="clear" w:color="auto" w:fill="FFFFFF"/>
        <w:spacing w:after="0" w:line="240" w:lineRule="auto"/>
        <w:ind w:left="150"/>
        <w:textAlignment w:val="baseline"/>
        <w:rPr>
          <w:rFonts w:ascii="inherit" w:eastAsia="Times New Roman" w:hAnsi="inherit" w:cs="Arial"/>
          <w:color w:val="222222"/>
          <w:sz w:val="21"/>
          <w:szCs w:val="21"/>
          <w:lang w:eastAsia="tr-TR"/>
        </w:rPr>
      </w:pPr>
    </w:p>
    <w:p w:rsidR="0045530E" w:rsidRPr="0045530E" w:rsidRDefault="0045530E" w:rsidP="0045530E">
      <w:pPr>
        <w:numPr>
          <w:ilvl w:val="1"/>
          <w:numId w:val="2"/>
        </w:numPr>
        <w:pBdr>
          <w:top w:val="single" w:sz="6" w:space="0" w:color="000000"/>
          <w:left w:val="single" w:sz="6" w:space="0" w:color="000000"/>
          <w:bottom w:val="single" w:sz="6" w:space="0" w:color="000000"/>
          <w:right w:val="single" w:sz="6" w:space="0" w:color="000000"/>
        </w:pBdr>
        <w:shd w:val="clear" w:color="auto" w:fill="767676"/>
        <w:spacing w:after="0" w:line="240" w:lineRule="auto"/>
        <w:ind w:left="150"/>
        <w:textAlignment w:val="baseline"/>
        <w:rPr>
          <w:rFonts w:ascii="inherit" w:eastAsia="Times New Roman" w:hAnsi="inherit" w:cs="Arial"/>
          <w:color w:val="222222"/>
          <w:sz w:val="21"/>
          <w:szCs w:val="21"/>
          <w:lang w:eastAsia="tr-TR"/>
        </w:rPr>
      </w:pPr>
      <w:r w:rsidRPr="0045530E">
        <w:rPr>
          <w:rFonts w:ascii="inherit" w:eastAsia="Times New Roman" w:hAnsi="inherit" w:cs="Arial"/>
          <w:noProof/>
          <w:color w:val="1D86BB"/>
          <w:sz w:val="21"/>
          <w:szCs w:val="21"/>
          <w:bdr w:val="none" w:sz="0" w:space="0" w:color="auto" w:frame="1"/>
          <w:lang w:eastAsia="tr-TR"/>
        </w:rPr>
        <w:drawing>
          <wp:inline distT="0" distB="0" distL="0" distR="0" wp14:anchorId="4880E4A8" wp14:editId="13D0EB0F">
            <wp:extent cx="10506075" cy="4152900"/>
            <wp:effectExtent l="0" t="0" r="9525" b="0"/>
            <wp:docPr id="3" name="zoom_1" descr="Package Photo">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zoom_1" descr="Package Photo">
                      <a:hlinkClick r:id="rId7"/>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506075" cy="4152900"/>
                    </a:xfrm>
                    <a:prstGeom prst="rect">
                      <a:avLst/>
                    </a:prstGeom>
                    <a:noFill/>
                    <a:ln>
                      <a:noFill/>
                    </a:ln>
                  </pic:spPr>
                </pic:pic>
              </a:graphicData>
            </a:graphic>
          </wp:inline>
        </w:drawing>
      </w:r>
    </w:p>
    <w:p w:rsidR="0045530E" w:rsidRPr="0045530E" w:rsidRDefault="0045530E" w:rsidP="0045530E">
      <w:pPr>
        <w:shd w:val="clear" w:color="auto" w:fill="FFFFFF"/>
        <w:spacing w:after="0" w:line="240" w:lineRule="auto"/>
        <w:textAlignment w:val="baseline"/>
        <w:outlineLvl w:val="1"/>
        <w:rPr>
          <w:rFonts w:ascii="Arial" w:eastAsia="Times New Roman" w:hAnsi="Arial" w:cs="Arial"/>
          <w:color w:val="173F54"/>
          <w:sz w:val="38"/>
          <w:szCs w:val="38"/>
          <w:lang w:eastAsia="tr-TR"/>
        </w:rPr>
      </w:pPr>
      <w:r w:rsidRPr="0045530E">
        <w:rPr>
          <w:rFonts w:ascii="Arial" w:eastAsia="Times New Roman" w:hAnsi="Arial" w:cs="Arial"/>
          <w:color w:val="173F54"/>
          <w:sz w:val="38"/>
          <w:szCs w:val="38"/>
          <w:lang w:eastAsia="tr-TR"/>
        </w:rPr>
        <w:t>VIEW DRUG PHOTOS</w:t>
      </w:r>
    </w:p>
    <w:p w:rsidR="0045530E" w:rsidRPr="0045530E" w:rsidRDefault="0045530E" w:rsidP="0045530E">
      <w:pPr>
        <w:shd w:val="clear" w:color="auto" w:fill="767676"/>
        <w:spacing w:after="0" w:line="240" w:lineRule="auto"/>
        <w:ind w:left="150" w:right="150"/>
        <w:textAlignment w:val="baseline"/>
        <w:rPr>
          <w:rFonts w:ascii="inherit" w:eastAsia="Times New Roman" w:hAnsi="inherit" w:cs="Arial"/>
          <w:color w:val="FFFFFF"/>
          <w:sz w:val="21"/>
          <w:szCs w:val="21"/>
          <w:lang w:eastAsia="tr-TR"/>
        </w:rPr>
      </w:pPr>
      <w:r w:rsidRPr="0045530E">
        <w:rPr>
          <w:rFonts w:ascii="inherit" w:eastAsia="Times New Roman" w:hAnsi="inherit" w:cs="Arial"/>
          <w:color w:val="FFFFFF"/>
          <w:sz w:val="21"/>
          <w:szCs w:val="21"/>
          <w:lang w:eastAsia="tr-TR"/>
        </w:rPr>
        <w:t>DailyMed is no longer displaying pill images from RxImage. For more information, </w:t>
      </w:r>
      <w:hyperlink r:id="rId9" w:anchor="no-pill-photo-warning-modal" w:history="1">
        <w:r w:rsidRPr="0045530E">
          <w:rPr>
            <w:rFonts w:ascii="inherit" w:eastAsia="Times New Roman" w:hAnsi="inherit" w:cs="Arial"/>
            <w:color w:val="C7E2F1"/>
            <w:sz w:val="21"/>
            <w:szCs w:val="21"/>
            <w:u w:val="single"/>
            <w:bdr w:val="none" w:sz="0" w:space="0" w:color="auto" w:frame="1"/>
            <w:lang w:eastAsia="tr-TR"/>
          </w:rPr>
          <w:t>click here</w:t>
        </w:r>
      </w:hyperlink>
      <w:r w:rsidRPr="0045530E">
        <w:rPr>
          <w:rFonts w:ascii="inherit" w:eastAsia="Times New Roman" w:hAnsi="inherit" w:cs="Arial"/>
          <w:color w:val="FFFFFF"/>
          <w:sz w:val="21"/>
          <w:szCs w:val="21"/>
          <w:lang w:eastAsia="tr-TR"/>
        </w:rPr>
        <w:t>.</w:t>
      </w:r>
    </w:p>
    <w:p w:rsidR="0045530E" w:rsidRPr="0045530E" w:rsidRDefault="0045530E" w:rsidP="0045530E">
      <w:pPr>
        <w:shd w:val="clear" w:color="auto" w:fill="FFFFFF"/>
        <w:spacing w:after="0" w:line="240" w:lineRule="auto"/>
        <w:ind w:right="150"/>
        <w:textAlignment w:val="baseline"/>
        <w:outlineLvl w:val="1"/>
        <w:rPr>
          <w:rFonts w:ascii="Arial" w:eastAsia="Times New Roman" w:hAnsi="Arial" w:cs="Arial"/>
          <w:color w:val="173F54"/>
          <w:sz w:val="38"/>
          <w:szCs w:val="38"/>
          <w:lang w:eastAsia="tr-TR"/>
        </w:rPr>
      </w:pPr>
      <w:hyperlink r:id="rId10" w:history="1">
        <w:r w:rsidRPr="0045530E">
          <w:rPr>
            <w:rFonts w:ascii="Arial" w:eastAsia="Times New Roman" w:hAnsi="Arial" w:cs="Arial"/>
            <w:caps/>
            <w:color w:val="FFFFFF"/>
            <w:sz w:val="26"/>
            <w:szCs w:val="26"/>
            <w:u w:val="single"/>
            <w:bdr w:val="none" w:sz="0" w:space="0" w:color="auto" w:frame="1"/>
            <w:shd w:val="clear" w:color="auto" w:fill="F89025"/>
            <w:lang w:eastAsia="tr-TR"/>
          </w:rPr>
          <w:t>SAFETY</w:t>
        </w:r>
      </w:hyperlink>
    </w:p>
    <w:p w:rsidR="0045530E" w:rsidRPr="0045530E" w:rsidRDefault="0045530E" w:rsidP="0045530E">
      <w:pPr>
        <w:numPr>
          <w:ilvl w:val="0"/>
          <w:numId w:val="3"/>
        </w:numPr>
        <w:shd w:val="clear" w:color="auto" w:fill="FFFFFF"/>
        <w:spacing w:after="0" w:line="240" w:lineRule="auto"/>
        <w:ind w:left="-75" w:right="150"/>
        <w:textAlignment w:val="baseline"/>
        <w:rPr>
          <w:rFonts w:ascii="inherit" w:eastAsia="Times New Roman" w:hAnsi="inherit" w:cs="Arial"/>
          <w:color w:val="222222"/>
          <w:sz w:val="21"/>
          <w:szCs w:val="21"/>
          <w:lang w:eastAsia="tr-TR"/>
        </w:rPr>
      </w:pPr>
      <w:hyperlink r:id="rId11" w:anchor="boxedwarning" w:tooltip="A boxed warning is the strongest warning that the FDA requires, and signifies that medical studies indicate that the drug carries a significant risk of serious or even life-threatening adverse effects." w:history="1">
        <w:r w:rsidRPr="0045530E">
          <w:rPr>
            <w:rFonts w:ascii="inherit" w:eastAsia="Times New Roman" w:hAnsi="inherit" w:cs="Arial"/>
            <w:color w:val="3899CC"/>
            <w:sz w:val="21"/>
            <w:szCs w:val="21"/>
            <w:u w:val="single"/>
            <w:bdr w:val="none" w:sz="0" w:space="0" w:color="auto" w:frame="1"/>
            <w:lang w:eastAsia="tr-TR"/>
          </w:rPr>
          <w:t>Boxed Warnings</w:t>
        </w:r>
      </w:hyperlink>
    </w:p>
    <w:p w:rsidR="0045530E" w:rsidRPr="0045530E" w:rsidRDefault="0045530E" w:rsidP="0045530E">
      <w:pPr>
        <w:numPr>
          <w:ilvl w:val="0"/>
          <w:numId w:val="3"/>
        </w:numPr>
        <w:shd w:val="clear" w:color="auto" w:fill="FFFFFF"/>
        <w:spacing w:after="0" w:line="240" w:lineRule="auto"/>
        <w:ind w:left="-75" w:right="150"/>
        <w:textAlignment w:val="baseline"/>
        <w:rPr>
          <w:rFonts w:ascii="inherit" w:eastAsia="Times New Roman" w:hAnsi="inherit" w:cs="Arial"/>
          <w:color w:val="222222"/>
          <w:sz w:val="21"/>
          <w:szCs w:val="21"/>
          <w:lang w:eastAsia="tr-TR"/>
        </w:rPr>
      </w:pPr>
      <w:hyperlink r:id="rId12" w:tgtFrame="_blank" w:history="1">
        <w:r w:rsidRPr="0045530E">
          <w:rPr>
            <w:rFonts w:ascii="inherit" w:eastAsia="Times New Roman" w:hAnsi="inherit" w:cs="Arial"/>
            <w:color w:val="3899CC"/>
            <w:sz w:val="21"/>
            <w:szCs w:val="21"/>
            <w:u w:val="single"/>
            <w:bdr w:val="dashed" w:sz="6" w:space="5" w:color="3899CC" w:frame="1"/>
            <w:lang w:eastAsia="tr-TR"/>
          </w:rPr>
          <w:t>Report Adverse Events</w:t>
        </w:r>
      </w:hyperlink>
    </w:p>
    <w:p w:rsidR="0045530E" w:rsidRPr="0045530E" w:rsidRDefault="0045530E" w:rsidP="0045530E">
      <w:pPr>
        <w:numPr>
          <w:ilvl w:val="0"/>
          <w:numId w:val="3"/>
        </w:numPr>
        <w:shd w:val="clear" w:color="auto" w:fill="FFFFFF"/>
        <w:spacing w:after="0" w:line="240" w:lineRule="auto"/>
        <w:ind w:left="-75" w:right="150"/>
        <w:textAlignment w:val="baseline"/>
        <w:rPr>
          <w:rFonts w:ascii="inherit" w:eastAsia="Times New Roman" w:hAnsi="inherit" w:cs="Arial"/>
          <w:color w:val="222222"/>
          <w:sz w:val="21"/>
          <w:szCs w:val="21"/>
          <w:lang w:eastAsia="tr-TR"/>
        </w:rPr>
      </w:pPr>
      <w:hyperlink r:id="rId13" w:tgtFrame="_blank" w:history="1">
        <w:r w:rsidRPr="0045530E">
          <w:rPr>
            <w:rFonts w:ascii="inherit" w:eastAsia="Times New Roman" w:hAnsi="inherit" w:cs="Arial"/>
            <w:color w:val="3899CC"/>
            <w:sz w:val="21"/>
            <w:szCs w:val="21"/>
            <w:u w:val="single"/>
            <w:bdr w:val="dashed" w:sz="6" w:space="5" w:color="3899CC" w:frame="1"/>
            <w:lang w:eastAsia="tr-TR"/>
          </w:rPr>
          <w:t>FDA Safety Recalls</w:t>
        </w:r>
      </w:hyperlink>
    </w:p>
    <w:p w:rsidR="0045530E" w:rsidRPr="0045530E" w:rsidRDefault="0045530E" w:rsidP="0045530E">
      <w:pPr>
        <w:numPr>
          <w:ilvl w:val="0"/>
          <w:numId w:val="3"/>
        </w:numPr>
        <w:shd w:val="clear" w:color="auto" w:fill="FFFFFF"/>
        <w:spacing w:line="240" w:lineRule="auto"/>
        <w:ind w:left="-75" w:right="150"/>
        <w:textAlignment w:val="baseline"/>
        <w:rPr>
          <w:rFonts w:ascii="inherit" w:eastAsia="Times New Roman" w:hAnsi="inherit" w:cs="Arial"/>
          <w:color w:val="222222"/>
          <w:sz w:val="21"/>
          <w:szCs w:val="21"/>
          <w:lang w:eastAsia="tr-TR"/>
        </w:rPr>
      </w:pPr>
      <w:hyperlink r:id="rId14" w:tgtFrame="_blank" w:history="1">
        <w:r w:rsidRPr="0045530E">
          <w:rPr>
            <w:rFonts w:ascii="inherit" w:eastAsia="Times New Roman" w:hAnsi="inherit" w:cs="Arial"/>
            <w:color w:val="3899CC"/>
            <w:sz w:val="21"/>
            <w:szCs w:val="21"/>
            <w:u w:val="single"/>
            <w:bdr w:val="dashed" w:sz="6" w:space="5" w:color="3899CC" w:frame="1"/>
            <w:lang w:eastAsia="tr-TR"/>
          </w:rPr>
          <w:t>Presence in Breast Milk</w:t>
        </w:r>
      </w:hyperlink>
    </w:p>
    <w:p w:rsidR="0045530E" w:rsidRPr="0045530E" w:rsidRDefault="0045530E" w:rsidP="0045530E">
      <w:pPr>
        <w:shd w:val="clear" w:color="auto" w:fill="FFFFFF"/>
        <w:spacing w:after="0" w:line="240" w:lineRule="auto"/>
        <w:ind w:right="150"/>
        <w:textAlignment w:val="baseline"/>
        <w:outlineLvl w:val="1"/>
        <w:rPr>
          <w:rFonts w:ascii="Arial" w:eastAsia="Times New Roman" w:hAnsi="Arial" w:cs="Arial"/>
          <w:color w:val="173F54"/>
          <w:sz w:val="38"/>
          <w:szCs w:val="38"/>
          <w:lang w:eastAsia="tr-TR"/>
        </w:rPr>
      </w:pPr>
      <w:hyperlink r:id="rId15" w:history="1">
        <w:r w:rsidRPr="0045530E">
          <w:rPr>
            <w:rFonts w:ascii="Arial" w:eastAsia="Times New Roman" w:hAnsi="Arial" w:cs="Arial"/>
            <w:caps/>
            <w:color w:val="FFFFFF"/>
            <w:sz w:val="26"/>
            <w:szCs w:val="26"/>
            <w:u w:val="single"/>
            <w:bdr w:val="none" w:sz="0" w:space="0" w:color="auto" w:frame="1"/>
            <w:shd w:val="clear" w:color="auto" w:fill="3899CC"/>
            <w:lang w:eastAsia="tr-TR"/>
          </w:rPr>
          <w:t>RELATED RESOURCES</w:t>
        </w:r>
      </w:hyperlink>
    </w:p>
    <w:p w:rsidR="0045530E" w:rsidRPr="0045530E" w:rsidRDefault="0045530E" w:rsidP="0045530E">
      <w:pPr>
        <w:numPr>
          <w:ilvl w:val="0"/>
          <w:numId w:val="4"/>
        </w:numPr>
        <w:shd w:val="clear" w:color="auto" w:fill="FFFFFF"/>
        <w:spacing w:after="0" w:line="240" w:lineRule="auto"/>
        <w:ind w:left="-75" w:right="150"/>
        <w:textAlignment w:val="baseline"/>
        <w:rPr>
          <w:rFonts w:ascii="inherit" w:eastAsia="Times New Roman" w:hAnsi="inherit" w:cs="Arial"/>
          <w:color w:val="222222"/>
          <w:sz w:val="21"/>
          <w:szCs w:val="21"/>
          <w:lang w:eastAsia="tr-TR"/>
        </w:rPr>
      </w:pPr>
      <w:hyperlink r:id="rId16" w:tgtFrame="_blank" w:history="1">
        <w:r w:rsidRPr="0045530E">
          <w:rPr>
            <w:rFonts w:ascii="inherit" w:eastAsia="Times New Roman" w:hAnsi="inherit" w:cs="Arial"/>
            <w:color w:val="3899CC"/>
            <w:sz w:val="21"/>
            <w:szCs w:val="21"/>
            <w:u w:val="single"/>
            <w:bdr w:val="none" w:sz="0" w:space="0" w:color="auto" w:frame="1"/>
            <w:lang w:eastAsia="tr-TR"/>
          </w:rPr>
          <w:t>Medline Plus</w:t>
        </w:r>
      </w:hyperlink>
    </w:p>
    <w:p w:rsidR="0045530E" w:rsidRPr="0045530E" w:rsidRDefault="0045530E" w:rsidP="0045530E">
      <w:pPr>
        <w:numPr>
          <w:ilvl w:val="0"/>
          <w:numId w:val="4"/>
        </w:numPr>
        <w:shd w:val="clear" w:color="auto" w:fill="FFFFFF"/>
        <w:spacing w:after="0" w:line="240" w:lineRule="auto"/>
        <w:ind w:left="-75" w:right="150"/>
        <w:textAlignment w:val="baseline"/>
        <w:rPr>
          <w:rFonts w:ascii="inherit" w:eastAsia="Times New Roman" w:hAnsi="inherit" w:cs="Arial"/>
          <w:color w:val="222222"/>
          <w:sz w:val="21"/>
          <w:szCs w:val="21"/>
          <w:lang w:eastAsia="tr-TR"/>
        </w:rPr>
      </w:pPr>
      <w:hyperlink r:id="rId17" w:tgtFrame="blank" w:history="1">
        <w:r w:rsidRPr="0045530E">
          <w:rPr>
            <w:rFonts w:ascii="inherit" w:eastAsia="Times New Roman" w:hAnsi="inherit" w:cs="Arial"/>
            <w:color w:val="3899CC"/>
            <w:sz w:val="21"/>
            <w:szCs w:val="21"/>
            <w:u w:val="single"/>
            <w:bdr w:val="dashed" w:sz="6" w:space="5" w:color="3899CC" w:frame="1"/>
            <w:lang w:eastAsia="tr-TR"/>
          </w:rPr>
          <w:t>Clinical Trials</w:t>
        </w:r>
      </w:hyperlink>
    </w:p>
    <w:p w:rsidR="0045530E" w:rsidRPr="0045530E" w:rsidRDefault="0045530E" w:rsidP="0045530E">
      <w:pPr>
        <w:numPr>
          <w:ilvl w:val="0"/>
          <w:numId w:val="4"/>
        </w:numPr>
        <w:shd w:val="clear" w:color="auto" w:fill="FFFFFF"/>
        <w:spacing w:after="0" w:line="240" w:lineRule="auto"/>
        <w:ind w:left="-75" w:right="150"/>
        <w:textAlignment w:val="baseline"/>
        <w:rPr>
          <w:rFonts w:ascii="inherit" w:eastAsia="Times New Roman" w:hAnsi="inherit" w:cs="Arial"/>
          <w:color w:val="222222"/>
          <w:sz w:val="21"/>
          <w:szCs w:val="21"/>
          <w:lang w:eastAsia="tr-TR"/>
        </w:rPr>
      </w:pPr>
      <w:hyperlink r:id="rId18" w:history="1">
        <w:r w:rsidRPr="0045530E">
          <w:rPr>
            <w:rFonts w:ascii="inherit" w:eastAsia="Times New Roman" w:hAnsi="inherit" w:cs="Arial"/>
            <w:color w:val="3899CC"/>
            <w:sz w:val="21"/>
            <w:szCs w:val="21"/>
            <w:u w:val="single"/>
            <w:bdr w:val="dashed" w:sz="6" w:space="5" w:color="3899CC" w:frame="1"/>
            <w:lang w:eastAsia="tr-TR"/>
          </w:rPr>
          <w:t>PubMed</w:t>
        </w:r>
      </w:hyperlink>
    </w:p>
    <w:p w:rsidR="0045530E" w:rsidRPr="0045530E" w:rsidRDefault="0045530E" w:rsidP="0045530E">
      <w:pPr>
        <w:numPr>
          <w:ilvl w:val="0"/>
          <w:numId w:val="4"/>
        </w:numPr>
        <w:shd w:val="clear" w:color="auto" w:fill="FFFFFF"/>
        <w:spacing w:line="240" w:lineRule="auto"/>
        <w:ind w:left="-75" w:right="150"/>
        <w:textAlignment w:val="baseline"/>
        <w:rPr>
          <w:rFonts w:ascii="inherit" w:eastAsia="Times New Roman" w:hAnsi="inherit" w:cs="Arial"/>
          <w:color w:val="222222"/>
          <w:sz w:val="21"/>
          <w:szCs w:val="21"/>
          <w:lang w:eastAsia="tr-TR"/>
        </w:rPr>
      </w:pPr>
      <w:hyperlink r:id="rId19" w:tgtFrame="_blank" w:history="1">
        <w:r w:rsidRPr="0045530E">
          <w:rPr>
            <w:rFonts w:ascii="inherit" w:eastAsia="Times New Roman" w:hAnsi="inherit" w:cs="Arial"/>
            <w:color w:val="3899CC"/>
            <w:sz w:val="21"/>
            <w:szCs w:val="21"/>
            <w:u w:val="single"/>
            <w:bdr w:val="dashed" w:sz="6" w:space="5" w:color="3899CC" w:frame="1"/>
            <w:lang w:eastAsia="tr-TR"/>
          </w:rPr>
          <w:t>Biochemical Data Summary</w:t>
        </w:r>
      </w:hyperlink>
    </w:p>
    <w:p w:rsidR="0045530E" w:rsidRPr="0045530E" w:rsidRDefault="0045530E" w:rsidP="0045530E">
      <w:pPr>
        <w:shd w:val="clear" w:color="auto" w:fill="FFFFFF"/>
        <w:spacing w:after="0" w:line="240" w:lineRule="auto"/>
        <w:ind w:right="150"/>
        <w:textAlignment w:val="baseline"/>
        <w:outlineLvl w:val="1"/>
        <w:rPr>
          <w:rFonts w:ascii="Arial" w:eastAsia="Times New Roman" w:hAnsi="Arial" w:cs="Arial"/>
          <w:color w:val="173F54"/>
          <w:sz w:val="38"/>
          <w:szCs w:val="38"/>
          <w:lang w:eastAsia="tr-TR"/>
        </w:rPr>
      </w:pPr>
      <w:hyperlink r:id="rId20" w:history="1">
        <w:r w:rsidRPr="0045530E">
          <w:rPr>
            <w:rFonts w:ascii="Arial" w:eastAsia="Times New Roman" w:hAnsi="Arial" w:cs="Arial"/>
            <w:caps/>
            <w:color w:val="FFFFFF"/>
            <w:sz w:val="26"/>
            <w:szCs w:val="26"/>
            <w:u w:val="single"/>
            <w:bdr w:val="none" w:sz="0" w:space="0" w:color="auto" w:frame="1"/>
            <w:shd w:val="clear" w:color="auto" w:fill="3899CC"/>
            <w:lang w:eastAsia="tr-TR"/>
          </w:rPr>
          <w:t>MORE INFO FOR THIS DRUG</w:t>
        </w:r>
      </w:hyperlink>
    </w:p>
    <w:p w:rsidR="0045530E" w:rsidRPr="0045530E" w:rsidRDefault="0045530E" w:rsidP="0045530E">
      <w:pPr>
        <w:numPr>
          <w:ilvl w:val="0"/>
          <w:numId w:val="5"/>
        </w:numPr>
        <w:shd w:val="clear" w:color="auto" w:fill="FFFFFF"/>
        <w:spacing w:after="0" w:line="240" w:lineRule="auto"/>
        <w:ind w:left="-75" w:right="150"/>
        <w:textAlignment w:val="baseline"/>
        <w:rPr>
          <w:rFonts w:ascii="inherit" w:eastAsia="Times New Roman" w:hAnsi="inherit" w:cs="Arial"/>
          <w:color w:val="222222"/>
          <w:sz w:val="21"/>
          <w:szCs w:val="21"/>
          <w:lang w:eastAsia="tr-TR"/>
        </w:rPr>
      </w:pPr>
      <w:hyperlink r:id="rId21" w:anchor="modal-label-archives" w:history="1">
        <w:r w:rsidRPr="0045530E">
          <w:rPr>
            <w:rFonts w:ascii="inherit" w:eastAsia="Times New Roman" w:hAnsi="inherit" w:cs="Arial"/>
            <w:color w:val="3899CC"/>
            <w:sz w:val="21"/>
            <w:szCs w:val="21"/>
            <w:u w:val="single"/>
            <w:bdr w:val="none" w:sz="0" w:space="0" w:color="auto" w:frame="1"/>
            <w:lang w:eastAsia="tr-TR"/>
          </w:rPr>
          <w:t>View Label Archives</w:t>
        </w:r>
      </w:hyperlink>
    </w:p>
    <w:p w:rsidR="0045530E" w:rsidRPr="0045530E" w:rsidRDefault="0045530E" w:rsidP="0045530E">
      <w:pPr>
        <w:numPr>
          <w:ilvl w:val="0"/>
          <w:numId w:val="5"/>
        </w:numPr>
        <w:shd w:val="clear" w:color="auto" w:fill="FFFFFF"/>
        <w:spacing w:after="0" w:line="240" w:lineRule="auto"/>
        <w:ind w:left="-75" w:right="150"/>
        <w:textAlignment w:val="baseline"/>
        <w:rPr>
          <w:rFonts w:ascii="inherit" w:eastAsia="Times New Roman" w:hAnsi="inherit" w:cs="Arial"/>
          <w:color w:val="222222"/>
          <w:sz w:val="21"/>
          <w:szCs w:val="21"/>
          <w:lang w:eastAsia="tr-TR"/>
        </w:rPr>
      </w:pPr>
      <w:hyperlink r:id="rId22" w:anchor="modal-rx-norm" w:history="1">
        <w:r w:rsidRPr="0045530E">
          <w:rPr>
            <w:rFonts w:ascii="inherit" w:eastAsia="Times New Roman" w:hAnsi="inherit" w:cs="Arial"/>
            <w:color w:val="3899CC"/>
            <w:sz w:val="21"/>
            <w:szCs w:val="21"/>
            <w:u w:val="single"/>
            <w:bdr w:val="dashed" w:sz="6" w:space="5" w:color="3899CC" w:frame="1"/>
            <w:lang w:eastAsia="tr-TR"/>
          </w:rPr>
          <w:t>RxNorm</w:t>
        </w:r>
      </w:hyperlink>
    </w:p>
    <w:p w:rsidR="0045530E" w:rsidRPr="0045530E" w:rsidRDefault="0045530E" w:rsidP="0045530E">
      <w:pPr>
        <w:numPr>
          <w:ilvl w:val="0"/>
          <w:numId w:val="5"/>
        </w:numPr>
        <w:shd w:val="clear" w:color="auto" w:fill="FFFFFF"/>
        <w:spacing w:line="240" w:lineRule="auto"/>
        <w:ind w:left="-75" w:right="150"/>
        <w:textAlignment w:val="baseline"/>
        <w:rPr>
          <w:rFonts w:ascii="inherit" w:eastAsia="Times New Roman" w:hAnsi="inherit" w:cs="Arial"/>
          <w:color w:val="222222"/>
          <w:sz w:val="21"/>
          <w:szCs w:val="21"/>
          <w:lang w:eastAsia="tr-TR"/>
        </w:rPr>
      </w:pPr>
      <w:hyperlink r:id="rId23" w:anchor="modal-label-rss" w:history="1">
        <w:r w:rsidRPr="0045530E">
          <w:rPr>
            <w:rFonts w:ascii="inherit" w:eastAsia="Times New Roman" w:hAnsi="inherit" w:cs="Arial"/>
            <w:color w:val="3899CC"/>
            <w:sz w:val="21"/>
            <w:szCs w:val="21"/>
            <w:u w:val="single"/>
            <w:bdr w:val="dashed" w:sz="6" w:space="5" w:color="3899CC" w:frame="1"/>
            <w:lang w:eastAsia="tr-TR"/>
          </w:rPr>
          <w:t>Get Label RSS Feed</w:t>
        </w:r>
      </w:hyperlink>
    </w:p>
    <w:p w:rsidR="0045530E" w:rsidRPr="0045530E" w:rsidRDefault="0045530E" w:rsidP="0045530E">
      <w:pPr>
        <w:numPr>
          <w:ilvl w:val="0"/>
          <w:numId w:val="6"/>
        </w:numPr>
        <w:shd w:val="clear" w:color="auto" w:fill="FFFFFF"/>
        <w:spacing w:after="0" w:line="240" w:lineRule="auto"/>
        <w:ind w:left="0"/>
        <w:textAlignment w:val="baseline"/>
        <w:rPr>
          <w:rFonts w:ascii="inherit" w:eastAsia="Times New Roman" w:hAnsi="inherit" w:cs="Arial"/>
          <w:color w:val="222222"/>
          <w:sz w:val="21"/>
          <w:szCs w:val="21"/>
          <w:lang w:eastAsia="tr-TR"/>
        </w:rPr>
      </w:pPr>
      <w:hyperlink r:id="rId24" w:tooltip="&lt;b&gt;NDC (National Drug Code)&lt;/b&gt; - Each drug product is assigned this unique number which can be found on the drug's outer packaging." w:history="1">
        <w:r w:rsidRPr="0045530E">
          <w:rPr>
            <w:rFonts w:ascii="inherit" w:eastAsia="Times New Roman" w:hAnsi="inherit" w:cs="Arial"/>
            <w:color w:val="1D86BB"/>
            <w:sz w:val="21"/>
            <w:szCs w:val="21"/>
            <w:u w:val="single"/>
            <w:bdr w:val="none" w:sz="0" w:space="0" w:color="auto" w:frame="1"/>
            <w:lang w:eastAsia="tr-TR"/>
          </w:rPr>
          <w:t>NDC Code(s):</w:t>
        </w:r>
      </w:hyperlink>
      <w:r w:rsidRPr="0045530E">
        <w:rPr>
          <w:rFonts w:ascii="inherit" w:eastAsia="Times New Roman" w:hAnsi="inherit" w:cs="Arial"/>
          <w:color w:val="222222"/>
          <w:sz w:val="21"/>
          <w:szCs w:val="21"/>
          <w:lang w:eastAsia="tr-TR"/>
        </w:rPr>
        <w:t> </w:t>
      </w:r>
      <w:r w:rsidRPr="0045530E">
        <w:rPr>
          <w:rFonts w:ascii="inherit" w:eastAsia="Times New Roman" w:hAnsi="inherit" w:cs="Arial"/>
          <w:color w:val="222222"/>
          <w:sz w:val="21"/>
          <w:szCs w:val="21"/>
          <w:bdr w:val="none" w:sz="0" w:space="0" w:color="auto" w:frame="1"/>
          <w:lang w:eastAsia="tr-TR"/>
        </w:rPr>
        <w:t>69399-185-81</w:t>
      </w:r>
    </w:p>
    <w:p w:rsidR="0045530E" w:rsidRPr="0045530E" w:rsidRDefault="0045530E" w:rsidP="0045530E">
      <w:pPr>
        <w:numPr>
          <w:ilvl w:val="0"/>
          <w:numId w:val="6"/>
        </w:numPr>
        <w:shd w:val="clear" w:color="auto" w:fill="FFFFFF"/>
        <w:spacing w:after="0" w:line="240" w:lineRule="auto"/>
        <w:ind w:left="0"/>
        <w:textAlignment w:val="baseline"/>
        <w:rPr>
          <w:rFonts w:ascii="inherit" w:eastAsia="Times New Roman" w:hAnsi="inherit" w:cs="Arial"/>
          <w:color w:val="222222"/>
          <w:sz w:val="21"/>
          <w:szCs w:val="21"/>
          <w:lang w:eastAsia="tr-TR"/>
        </w:rPr>
      </w:pPr>
    </w:p>
    <w:p w:rsidR="0045530E" w:rsidRPr="0045530E" w:rsidRDefault="0045530E" w:rsidP="0045530E">
      <w:pPr>
        <w:numPr>
          <w:ilvl w:val="0"/>
          <w:numId w:val="6"/>
        </w:numPr>
        <w:shd w:val="clear" w:color="auto" w:fill="FFFFFF"/>
        <w:spacing w:after="0" w:line="240" w:lineRule="auto"/>
        <w:ind w:left="0"/>
        <w:textAlignment w:val="baseline"/>
        <w:rPr>
          <w:rFonts w:ascii="inherit" w:eastAsia="Times New Roman" w:hAnsi="inherit" w:cs="Arial"/>
          <w:color w:val="222222"/>
          <w:sz w:val="21"/>
          <w:szCs w:val="21"/>
          <w:lang w:eastAsia="tr-TR"/>
        </w:rPr>
      </w:pPr>
      <w:r w:rsidRPr="0045530E">
        <w:rPr>
          <w:rFonts w:ascii="Arial" w:eastAsia="Times New Roman" w:hAnsi="Arial" w:cs="Arial"/>
          <w:color w:val="222222"/>
          <w:sz w:val="21"/>
          <w:szCs w:val="21"/>
          <w:bdr w:val="none" w:sz="0" w:space="0" w:color="auto" w:frame="1"/>
          <w:lang w:eastAsia="tr-TR"/>
        </w:rPr>
        <w:t>Packager: </w:t>
      </w:r>
      <w:r w:rsidRPr="0045530E">
        <w:rPr>
          <w:rFonts w:ascii="inherit" w:eastAsia="Times New Roman" w:hAnsi="inherit" w:cs="Arial"/>
          <w:color w:val="222222"/>
          <w:sz w:val="21"/>
          <w:szCs w:val="21"/>
          <w:lang w:eastAsia="tr-TR"/>
        </w:rPr>
        <w:t>SYDON LABS LLC</w:t>
      </w:r>
    </w:p>
    <w:p w:rsidR="0045530E" w:rsidRPr="0045530E" w:rsidRDefault="0045530E" w:rsidP="0045530E">
      <w:pPr>
        <w:numPr>
          <w:ilvl w:val="0"/>
          <w:numId w:val="7"/>
        </w:numPr>
        <w:shd w:val="clear" w:color="auto" w:fill="FFFFFF"/>
        <w:spacing w:after="0" w:line="240" w:lineRule="auto"/>
        <w:ind w:left="0"/>
        <w:textAlignment w:val="baseline"/>
        <w:rPr>
          <w:rFonts w:ascii="inherit" w:eastAsia="Times New Roman" w:hAnsi="inherit" w:cs="Arial"/>
          <w:color w:val="222222"/>
          <w:sz w:val="21"/>
          <w:szCs w:val="21"/>
          <w:lang w:eastAsia="tr-TR"/>
        </w:rPr>
      </w:pPr>
      <w:r w:rsidRPr="0045530E">
        <w:rPr>
          <w:rFonts w:ascii="Arial" w:eastAsia="Times New Roman" w:hAnsi="Arial" w:cs="Arial"/>
          <w:color w:val="222222"/>
          <w:sz w:val="21"/>
          <w:szCs w:val="21"/>
          <w:bdr w:val="none" w:sz="0" w:space="0" w:color="auto" w:frame="1"/>
          <w:lang w:eastAsia="tr-TR"/>
        </w:rPr>
        <w:t>Category:</w:t>
      </w:r>
      <w:r w:rsidRPr="0045530E">
        <w:rPr>
          <w:rFonts w:ascii="inherit" w:eastAsia="Times New Roman" w:hAnsi="inherit" w:cs="Arial"/>
          <w:color w:val="222222"/>
          <w:sz w:val="21"/>
          <w:szCs w:val="21"/>
          <w:lang w:eastAsia="tr-TR"/>
        </w:rPr>
        <w:t> </w:t>
      </w:r>
      <w:r w:rsidRPr="0045530E">
        <w:rPr>
          <w:rFonts w:ascii="inherit" w:eastAsia="Times New Roman" w:hAnsi="inherit" w:cs="Arial"/>
          <w:color w:val="F89025"/>
          <w:sz w:val="21"/>
          <w:szCs w:val="21"/>
          <w:bdr w:val="none" w:sz="0" w:space="0" w:color="auto" w:frame="1"/>
          <w:lang w:eastAsia="tr-TR"/>
        </w:rPr>
        <w:t>HUMAN PRESCRIPTION DRUG LABEL</w:t>
      </w:r>
    </w:p>
    <w:p w:rsidR="0045530E" w:rsidRPr="0045530E" w:rsidRDefault="0045530E" w:rsidP="0045530E">
      <w:pPr>
        <w:numPr>
          <w:ilvl w:val="0"/>
          <w:numId w:val="7"/>
        </w:numPr>
        <w:shd w:val="clear" w:color="auto" w:fill="FFFFFF"/>
        <w:spacing w:after="0" w:line="240" w:lineRule="auto"/>
        <w:ind w:left="0"/>
        <w:textAlignment w:val="baseline"/>
        <w:rPr>
          <w:rFonts w:ascii="inherit" w:eastAsia="Times New Roman" w:hAnsi="inherit" w:cs="Arial"/>
          <w:color w:val="222222"/>
          <w:sz w:val="21"/>
          <w:szCs w:val="21"/>
          <w:lang w:eastAsia="tr-TR"/>
        </w:rPr>
      </w:pPr>
      <w:r w:rsidRPr="0045530E">
        <w:rPr>
          <w:rFonts w:ascii="Arial" w:eastAsia="Times New Roman" w:hAnsi="Arial" w:cs="Arial"/>
          <w:color w:val="222222"/>
          <w:sz w:val="21"/>
          <w:szCs w:val="21"/>
          <w:bdr w:val="none" w:sz="0" w:space="0" w:color="auto" w:frame="1"/>
          <w:lang w:eastAsia="tr-TR"/>
        </w:rPr>
        <w:t>DEA Schedule:</w:t>
      </w:r>
      <w:r w:rsidRPr="0045530E">
        <w:rPr>
          <w:rFonts w:ascii="inherit" w:eastAsia="Times New Roman" w:hAnsi="inherit" w:cs="Arial"/>
          <w:color w:val="222222"/>
          <w:sz w:val="21"/>
          <w:szCs w:val="21"/>
          <w:lang w:eastAsia="tr-TR"/>
        </w:rPr>
        <w:t> </w:t>
      </w:r>
      <w:r w:rsidRPr="0045530E">
        <w:rPr>
          <w:rFonts w:ascii="inherit" w:eastAsia="Times New Roman" w:hAnsi="inherit" w:cs="Arial"/>
          <w:color w:val="222222"/>
          <w:sz w:val="21"/>
          <w:szCs w:val="21"/>
          <w:bdr w:val="none" w:sz="0" w:space="0" w:color="auto" w:frame="1"/>
          <w:lang w:eastAsia="tr-TR"/>
        </w:rPr>
        <w:t>None</w:t>
      </w:r>
    </w:p>
    <w:p w:rsidR="0045530E" w:rsidRPr="0045530E" w:rsidRDefault="0045530E" w:rsidP="0045530E">
      <w:pPr>
        <w:numPr>
          <w:ilvl w:val="0"/>
          <w:numId w:val="7"/>
        </w:numPr>
        <w:shd w:val="clear" w:color="auto" w:fill="FFFFFF"/>
        <w:spacing w:after="0" w:line="240" w:lineRule="auto"/>
        <w:ind w:left="0"/>
        <w:textAlignment w:val="baseline"/>
        <w:rPr>
          <w:rFonts w:ascii="inherit" w:eastAsia="Times New Roman" w:hAnsi="inherit" w:cs="Arial"/>
          <w:color w:val="222222"/>
          <w:sz w:val="21"/>
          <w:szCs w:val="21"/>
          <w:lang w:eastAsia="tr-TR"/>
        </w:rPr>
      </w:pPr>
      <w:r w:rsidRPr="0045530E">
        <w:rPr>
          <w:rFonts w:ascii="Arial" w:eastAsia="Times New Roman" w:hAnsi="Arial" w:cs="Arial"/>
          <w:color w:val="222222"/>
          <w:sz w:val="21"/>
          <w:szCs w:val="21"/>
          <w:bdr w:val="none" w:sz="0" w:space="0" w:color="auto" w:frame="1"/>
          <w:lang w:eastAsia="tr-TR"/>
        </w:rPr>
        <w:t>Marketing Status:</w:t>
      </w:r>
      <w:r w:rsidRPr="0045530E">
        <w:rPr>
          <w:rFonts w:ascii="inherit" w:eastAsia="Times New Roman" w:hAnsi="inherit" w:cs="Arial"/>
          <w:color w:val="222222"/>
          <w:sz w:val="21"/>
          <w:szCs w:val="21"/>
          <w:lang w:eastAsia="tr-TR"/>
        </w:rPr>
        <w:t> </w:t>
      </w:r>
      <w:r w:rsidRPr="0045530E">
        <w:rPr>
          <w:rFonts w:ascii="inherit" w:eastAsia="Times New Roman" w:hAnsi="inherit" w:cs="Arial"/>
          <w:color w:val="222222"/>
          <w:sz w:val="21"/>
          <w:szCs w:val="21"/>
          <w:bdr w:val="none" w:sz="0" w:space="0" w:color="auto" w:frame="1"/>
          <w:lang w:eastAsia="tr-TR"/>
        </w:rPr>
        <w:t>Abbreviated New Drug Application</w:t>
      </w:r>
    </w:p>
    <w:p w:rsidR="0045530E" w:rsidRPr="0045530E" w:rsidRDefault="0045530E" w:rsidP="0045530E">
      <w:pPr>
        <w:shd w:val="clear" w:color="auto" w:fill="FFFFFF"/>
        <w:spacing w:after="48" w:line="240" w:lineRule="auto"/>
        <w:textAlignment w:val="baseline"/>
        <w:outlineLvl w:val="1"/>
        <w:rPr>
          <w:rFonts w:ascii="Arial" w:eastAsia="Times New Roman" w:hAnsi="Arial" w:cs="Arial"/>
          <w:caps/>
          <w:color w:val="F89025"/>
          <w:sz w:val="39"/>
          <w:szCs w:val="39"/>
          <w:lang w:eastAsia="tr-TR"/>
        </w:rPr>
      </w:pPr>
      <w:r w:rsidRPr="0045530E">
        <w:rPr>
          <w:rFonts w:ascii="Arial" w:eastAsia="Times New Roman" w:hAnsi="Arial" w:cs="Arial"/>
          <w:caps/>
          <w:color w:val="F89025"/>
          <w:sz w:val="39"/>
          <w:szCs w:val="39"/>
          <w:lang w:eastAsia="tr-TR"/>
        </w:rPr>
        <w:t>DRUG LABEL INFORMATION</w:t>
      </w:r>
    </w:p>
    <w:p w:rsidR="0045530E" w:rsidRPr="0045530E" w:rsidRDefault="0045530E" w:rsidP="0045530E">
      <w:pPr>
        <w:shd w:val="clear" w:color="auto" w:fill="FFFFFF"/>
        <w:spacing w:before="60" w:after="0" w:line="240" w:lineRule="auto"/>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Updated November 27, 2015</w:t>
      </w:r>
    </w:p>
    <w:p w:rsidR="0045530E" w:rsidRPr="0045530E" w:rsidRDefault="0045530E" w:rsidP="0045530E">
      <w:pPr>
        <w:shd w:val="clear" w:color="auto" w:fill="FFFFFF"/>
        <w:spacing w:after="0" w:line="240" w:lineRule="auto"/>
        <w:textAlignment w:val="baseline"/>
        <w:rPr>
          <w:rFonts w:ascii="inherit" w:eastAsia="Times New Roman" w:hAnsi="inherit" w:cs="Arial"/>
          <w:color w:val="F89025"/>
          <w:sz w:val="21"/>
          <w:szCs w:val="21"/>
          <w:lang w:eastAsia="tr-TR"/>
        </w:rPr>
      </w:pPr>
      <w:r w:rsidRPr="0045530E">
        <w:rPr>
          <w:rFonts w:ascii="inherit" w:eastAsia="Times New Roman" w:hAnsi="inherit" w:cs="Arial"/>
          <w:color w:val="F89025"/>
          <w:sz w:val="21"/>
          <w:szCs w:val="21"/>
          <w:lang w:eastAsia="tr-TR"/>
        </w:rPr>
        <w:t>If you are a consumer or patient please visit </w:t>
      </w:r>
      <w:hyperlink r:id="rId25" w:history="1">
        <w:r w:rsidRPr="0045530E">
          <w:rPr>
            <w:rFonts w:ascii="inherit" w:eastAsia="Times New Roman" w:hAnsi="inherit" w:cs="Arial"/>
            <w:color w:val="1D86BB"/>
            <w:sz w:val="21"/>
            <w:szCs w:val="21"/>
            <w:u w:val="single"/>
            <w:bdr w:val="none" w:sz="0" w:space="0" w:color="auto" w:frame="1"/>
            <w:lang w:eastAsia="tr-TR"/>
          </w:rPr>
          <w:t>this version.</w:t>
        </w:r>
      </w:hyperlink>
    </w:p>
    <w:p w:rsidR="0045530E" w:rsidRPr="0045530E" w:rsidRDefault="0045530E" w:rsidP="0045530E">
      <w:pPr>
        <w:numPr>
          <w:ilvl w:val="0"/>
          <w:numId w:val="8"/>
        </w:numPr>
        <w:shd w:val="clear" w:color="auto" w:fill="FFFFFF"/>
        <w:spacing w:beforeAutospacing="1" w:after="0" w:afterAutospacing="1" w:line="240" w:lineRule="auto"/>
        <w:ind w:left="0" w:right="30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DOWNLOAD DRUG LABEL INFO: </w:t>
      </w:r>
      <w:hyperlink r:id="rId26" w:tgtFrame="_blank" w:history="1">
        <w:r w:rsidRPr="0045530E">
          <w:rPr>
            <w:rFonts w:ascii="inherit" w:eastAsia="Times New Roman" w:hAnsi="inherit" w:cs="Arial"/>
            <w:color w:val="0000FF"/>
            <w:sz w:val="21"/>
            <w:szCs w:val="21"/>
            <w:u w:val="single"/>
            <w:bdr w:val="none" w:sz="0" w:space="0" w:color="auto" w:frame="1"/>
            <w:lang w:eastAsia="tr-TR"/>
          </w:rPr>
          <w:t>PDF</w:t>
        </w:r>
      </w:hyperlink>
      <w:r w:rsidRPr="0045530E">
        <w:rPr>
          <w:rFonts w:ascii="inherit" w:eastAsia="Times New Roman" w:hAnsi="inherit" w:cs="Arial"/>
          <w:color w:val="222222"/>
          <w:sz w:val="21"/>
          <w:szCs w:val="21"/>
          <w:lang w:eastAsia="tr-TR"/>
        </w:rPr>
        <w:t> </w:t>
      </w:r>
      <w:hyperlink r:id="rId27" w:tgtFrame="_blank" w:history="1">
        <w:r w:rsidRPr="0045530E">
          <w:rPr>
            <w:rFonts w:ascii="inherit" w:eastAsia="Times New Roman" w:hAnsi="inherit" w:cs="Arial"/>
            <w:color w:val="0000FF"/>
            <w:sz w:val="21"/>
            <w:szCs w:val="21"/>
            <w:u w:val="single"/>
            <w:bdr w:val="none" w:sz="0" w:space="0" w:color="auto" w:frame="1"/>
            <w:lang w:eastAsia="tr-TR"/>
          </w:rPr>
          <w:t>XML</w:t>
        </w:r>
      </w:hyperlink>
    </w:p>
    <w:p w:rsidR="0045530E" w:rsidRPr="0045530E" w:rsidRDefault="0045530E" w:rsidP="0045530E">
      <w:pPr>
        <w:numPr>
          <w:ilvl w:val="0"/>
          <w:numId w:val="8"/>
        </w:numPr>
        <w:shd w:val="clear" w:color="auto" w:fill="FFFFFF"/>
        <w:spacing w:beforeAutospacing="1" w:after="0" w:afterAutospacing="1" w:line="240" w:lineRule="auto"/>
        <w:ind w:left="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MEDICATION GUIDE: </w:t>
      </w:r>
      <w:hyperlink r:id="rId28" w:tgtFrame="_blank" w:history="1">
        <w:r w:rsidRPr="0045530E">
          <w:rPr>
            <w:rFonts w:ascii="inherit" w:eastAsia="Times New Roman" w:hAnsi="inherit" w:cs="Arial"/>
            <w:color w:val="0000FF"/>
            <w:sz w:val="21"/>
            <w:szCs w:val="21"/>
            <w:u w:val="single"/>
            <w:bdr w:val="none" w:sz="0" w:space="0" w:color="auto" w:frame="1"/>
            <w:lang w:eastAsia="tr-TR"/>
          </w:rPr>
          <w:t>HTML</w:t>
        </w:r>
      </w:hyperlink>
    </w:p>
    <w:p w:rsidR="0045530E" w:rsidRPr="0045530E" w:rsidRDefault="0045530E" w:rsidP="0045530E">
      <w:pPr>
        <w:numPr>
          <w:ilvl w:val="0"/>
          <w:numId w:val="8"/>
        </w:numPr>
        <w:shd w:val="clear" w:color="auto" w:fill="FFFFFF"/>
        <w:spacing w:after="0" w:line="240" w:lineRule="auto"/>
        <w:ind w:left="360"/>
        <w:textAlignment w:val="baseline"/>
        <w:rPr>
          <w:rFonts w:ascii="inherit" w:eastAsia="Times New Roman" w:hAnsi="inherit" w:cs="Arial"/>
          <w:color w:val="222222"/>
          <w:sz w:val="21"/>
          <w:szCs w:val="21"/>
          <w:lang w:eastAsia="tr-TR"/>
        </w:rPr>
      </w:pPr>
      <w:hyperlink r:id="rId29" w:tgtFrame="_blank" w:history="1">
        <w:r w:rsidRPr="0045530E">
          <w:rPr>
            <w:rFonts w:ascii="inherit" w:eastAsia="Times New Roman" w:hAnsi="inherit" w:cs="Arial"/>
            <w:color w:val="0000FF"/>
            <w:sz w:val="21"/>
            <w:szCs w:val="21"/>
            <w:u w:val="single"/>
            <w:bdr w:val="none" w:sz="0" w:space="0" w:color="auto" w:frame="1"/>
            <w:lang w:eastAsia="tr-TR"/>
          </w:rPr>
          <w:t>OFFICIAL LABEL (PRINTER FRIENDLY)</w:t>
        </w:r>
      </w:hyperlink>
    </w:p>
    <w:p w:rsidR="0045530E" w:rsidRPr="0045530E" w:rsidRDefault="0045530E" w:rsidP="0045530E">
      <w:pPr>
        <w:shd w:val="clear" w:color="auto" w:fill="FFFFFF"/>
        <w:spacing w:after="0" w:line="240" w:lineRule="auto"/>
        <w:textAlignment w:val="baseline"/>
        <w:rPr>
          <w:rFonts w:ascii="Arial" w:eastAsia="Times New Roman" w:hAnsi="Arial" w:cs="Arial"/>
          <w:caps/>
          <w:color w:val="1D86BB"/>
          <w:sz w:val="18"/>
          <w:szCs w:val="18"/>
          <w:lang w:eastAsia="tr-TR"/>
        </w:rPr>
      </w:pPr>
      <w:hyperlink r:id="rId30" w:history="1">
        <w:r w:rsidRPr="0045530E">
          <w:rPr>
            <w:rFonts w:ascii="inherit" w:eastAsia="Times New Roman" w:hAnsi="inherit" w:cs="Arial"/>
            <w:caps/>
            <w:color w:val="1D86BB"/>
            <w:sz w:val="18"/>
            <w:szCs w:val="18"/>
            <w:u w:val="single"/>
            <w:bdr w:val="none" w:sz="0" w:space="0" w:color="auto" w:frame="1"/>
            <w:lang w:eastAsia="tr-TR"/>
          </w:rPr>
          <w:t>CLOSE ALL SECTIONS</w:t>
        </w:r>
      </w:hyperlink>
    </w:p>
    <w:p w:rsidR="0045530E" w:rsidRPr="0045530E" w:rsidRDefault="0045530E" w:rsidP="0045530E">
      <w:pPr>
        <w:numPr>
          <w:ilvl w:val="0"/>
          <w:numId w:val="9"/>
        </w:numPr>
        <w:shd w:val="clear" w:color="auto" w:fill="FFFFFF"/>
        <w:spacing w:after="0" w:line="240" w:lineRule="auto"/>
        <w:ind w:left="0"/>
        <w:textAlignment w:val="baseline"/>
        <w:rPr>
          <w:rFonts w:ascii="inherit" w:eastAsia="Times New Roman" w:hAnsi="inherit" w:cs="Arial"/>
          <w:color w:val="222222"/>
          <w:sz w:val="21"/>
          <w:szCs w:val="21"/>
          <w:lang w:eastAsia="tr-TR"/>
        </w:rPr>
      </w:pPr>
      <w:hyperlink r:id="rId31" w:history="1">
        <w:r w:rsidRPr="0045530E">
          <w:rPr>
            <w:rFonts w:ascii="Arial" w:eastAsia="Times New Roman" w:hAnsi="Arial" w:cs="Arial"/>
            <w:caps/>
            <w:color w:val="000000"/>
            <w:sz w:val="30"/>
            <w:szCs w:val="30"/>
            <w:u w:val="single"/>
            <w:bdr w:val="none" w:sz="0" w:space="0" w:color="auto" w:frame="1"/>
            <w:lang w:eastAsia="tr-TR"/>
          </w:rPr>
          <w:t>BOXED WARNING</w:t>
        </w:r>
      </w:hyperlink>
      <w:hyperlink r:id="rId32" w:tooltip="A boxed warning is the strongest warning that the FDA requires, and signifies that medical studies indicate that the drug carries a significant risk of serious or even life-threatening adverse effects." w:history="1">
        <w:r w:rsidRPr="0045530E">
          <w:rPr>
            <w:rFonts w:ascii="Arial" w:eastAsia="Times New Roman" w:hAnsi="Arial" w:cs="Arial"/>
            <w:caps/>
            <w:color w:val="1D86BB"/>
            <w:sz w:val="17"/>
            <w:szCs w:val="17"/>
            <w:u w:val="single"/>
            <w:bdr w:val="none" w:sz="0" w:space="0" w:color="auto" w:frame="1"/>
            <w:lang w:eastAsia="tr-TR"/>
          </w:rPr>
          <w:t>(WHAT IS THIS?)</w:t>
        </w:r>
      </w:hyperlink>
    </w:p>
    <w:p w:rsidR="0045530E" w:rsidRPr="0045530E" w:rsidRDefault="0045530E" w:rsidP="0045530E">
      <w:pPr>
        <w:shd w:val="clear" w:color="auto" w:fill="FFFFFF"/>
        <w:spacing w:after="120" w:line="240" w:lineRule="auto"/>
        <w:ind w:left="450"/>
        <w:textAlignment w:val="baseline"/>
        <w:outlineLvl w:val="0"/>
        <w:rPr>
          <w:rFonts w:ascii="Arial" w:eastAsia="Times New Roman" w:hAnsi="Arial" w:cs="Arial"/>
          <w:caps/>
          <w:color w:val="000000"/>
          <w:kern w:val="36"/>
          <w:sz w:val="30"/>
          <w:szCs w:val="30"/>
          <w:lang w:eastAsia="tr-TR"/>
        </w:rPr>
      </w:pPr>
      <w:bookmarkStart w:id="1" w:name="L86f26bc4-9b94-471a-a9b4-c1d1f7ae91e8"/>
      <w:bookmarkEnd w:id="1"/>
      <w:r w:rsidRPr="0045530E">
        <w:rPr>
          <w:rFonts w:ascii="Arial" w:eastAsia="Times New Roman" w:hAnsi="Arial" w:cs="Arial"/>
          <w:caps/>
          <w:color w:val="000000"/>
          <w:kern w:val="36"/>
          <w:sz w:val="30"/>
          <w:szCs w:val="30"/>
          <w:lang w:eastAsia="tr-TR"/>
        </w:rPr>
        <w:t>WARNING: CARDIOVASCULAR AND GASTROINTESTINAL RISKS</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color w:val="222222"/>
          <w:sz w:val="21"/>
          <w:szCs w:val="21"/>
          <w:bdr w:val="none" w:sz="0" w:space="0" w:color="auto" w:frame="1"/>
          <w:lang w:eastAsia="tr-TR"/>
        </w:rPr>
        <w:t>WARNING: CARDIOVASCULAR AND GASTROINTESTINAL RISKS</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color w:val="222222"/>
          <w:sz w:val="21"/>
          <w:szCs w:val="21"/>
          <w:u w:val="single"/>
          <w:bdr w:val="none" w:sz="0" w:space="0" w:color="auto" w:frame="1"/>
          <w:lang w:eastAsia="tr-TR"/>
        </w:rPr>
        <w:t>Cardiovascular Risk</w:t>
      </w:r>
    </w:p>
    <w:p w:rsidR="0045530E" w:rsidRPr="0045530E" w:rsidRDefault="0045530E" w:rsidP="0045530E">
      <w:pPr>
        <w:numPr>
          <w:ilvl w:val="1"/>
          <w:numId w:val="9"/>
        </w:numPr>
        <w:shd w:val="clear" w:color="auto" w:fill="FFFFFF"/>
        <w:spacing w:after="0" w:line="240" w:lineRule="auto"/>
        <w:ind w:left="813" w:right="363"/>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color w:val="222222"/>
          <w:sz w:val="21"/>
          <w:szCs w:val="21"/>
          <w:bdr w:val="none" w:sz="0" w:space="0" w:color="auto" w:frame="1"/>
          <w:lang w:eastAsia="tr-TR"/>
        </w:rPr>
        <w:t>Celecoxib may cause an increased risk of serious cardiovascular thrombotic events, myocardial infarction, and stroke, which can be fatal. All NSAIDs may have a similar risk. This risk may increase with duration of use. Patients with cardiovascular disease or risk factors for cardiovascular disease may be at greater risk. (5.1,14.6)</w:t>
      </w:r>
    </w:p>
    <w:p w:rsidR="0045530E" w:rsidRPr="0045530E" w:rsidRDefault="0045530E" w:rsidP="0045530E">
      <w:pPr>
        <w:numPr>
          <w:ilvl w:val="1"/>
          <w:numId w:val="9"/>
        </w:numPr>
        <w:shd w:val="clear" w:color="auto" w:fill="FFFFFF"/>
        <w:spacing w:after="0" w:line="240" w:lineRule="auto"/>
        <w:ind w:left="813" w:right="363"/>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color w:val="222222"/>
          <w:sz w:val="21"/>
          <w:szCs w:val="21"/>
          <w:bdr w:val="none" w:sz="0" w:space="0" w:color="auto" w:frame="1"/>
          <w:lang w:eastAsia="tr-TR"/>
        </w:rPr>
        <w:t xml:space="preserve">Celecoxib is contraindicated for the treatment of peri-operative pain in the setting of coronary artery bypass graft (CABG) surgery. (4, </w:t>
      </w:r>
      <w:proofErr w:type="gramStart"/>
      <w:r w:rsidRPr="0045530E">
        <w:rPr>
          <w:rFonts w:ascii="inherit" w:eastAsia="Times New Roman" w:hAnsi="inherit" w:cs="Arial"/>
          <w:b/>
          <w:bCs/>
          <w:color w:val="222222"/>
          <w:sz w:val="21"/>
          <w:szCs w:val="21"/>
          <w:bdr w:val="none" w:sz="0" w:space="0" w:color="auto" w:frame="1"/>
          <w:lang w:eastAsia="tr-TR"/>
        </w:rPr>
        <w:t>5.1</w:t>
      </w:r>
      <w:proofErr w:type="gramEnd"/>
      <w:r w:rsidRPr="0045530E">
        <w:rPr>
          <w:rFonts w:ascii="inherit" w:eastAsia="Times New Roman" w:hAnsi="inherit" w:cs="Arial"/>
          <w:b/>
          <w:bCs/>
          <w:color w:val="222222"/>
          <w:sz w:val="21"/>
          <w:szCs w:val="21"/>
          <w:bdr w:val="none" w:sz="0" w:space="0" w:color="auto" w:frame="1"/>
          <w:lang w:eastAsia="tr-TR"/>
        </w:rPr>
        <w:t>)</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color w:val="222222"/>
          <w:sz w:val="21"/>
          <w:szCs w:val="21"/>
          <w:u w:val="single"/>
          <w:bdr w:val="none" w:sz="0" w:space="0" w:color="auto" w:frame="1"/>
          <w:lang w:eastAsia="tr-TR"/>
        </w:rPr>
        <w:t>Gastrointestinal Risk</w:t>
      </w:r>
    </w:p>
    <w:p w:rsidR="0045530E" w:rsidRPr="0045530E" w:rsidRDefault="0045530E" w:rsidP="0045530E">
      <w:pPr>
        <w:numPr>
          <w:ilvl w:val="1"/>
          <w:numId w:val="9"/>
        </w:numPr>
        <w:shd w:val="clear" w:color="auto" w:fill="FFFFFF"/>
        <w:spacing w:after="0" w:line="240" w:lineRule="auto"/>
        <w:ind w:left="813" w:right="363"/>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color w:val="222222"/>
          <w:sz w:val="21"/>
          <w:szCs w:val="21"/>
          <w:bdr w:val="none" w:sz="0" w:space="0" w:color="auto" w:frame="1"/>
          <w:lang w:eastAsia="tr-TR"/>
        </w:rPr>
        <w:t>NSAIDs, including celecoxib, cause an increased risk of serious gastrointestinal adverse events including bleeding, ulceration, and perforation of the stomach or intestines, which can be fatal. These events can occur at any time during use and without warning symptoms. Elderly patients are at greater risk for serious gastrointestinal (GI) events. (5.4)</w:t>
      </w:r>
    </w:p>
    <w:p w:rsidR="0045530E" w:rsidRPr="0045530E" w:rsidRDefault="0045530E" w:rsidP="0045530E">
      <w:pPr>
        <w:shd w:val="clear" w:color="auto" w:fill="FFFFFF"/>
        <w:spacing w:after="150" w:line="240" w:lineRule="auto"/>
        <w:ind w:left="450"/>
        <w:textAlignment w:val="baseline"/>
        <w:rPr>
          <w:rFonts w:ascii="inherit" w:eastAsia="Times New Roman" w:hAnsi="inherit" w:cs="Arial"/>
          <w:color w:val="222222"/>
          <w:sz w:val="21"/>
          <w:szCs w:val="21"/>
          <w:lang w:eastAsia="tr-TR"/>
        </w:rPr>
      </w:pPr>
      <w:hyperlink r:id="rId33" w:history="1">
        <w:r w:rsidRPr="0045530E">
          <w:rPr>
            <w:rFonts w:ascii="Arial" w:eastAsia="Times New Roman" w:hAnsi="Arial" w:cs="Arial"/>
            <w:caps/>
            <w:color w:val="1D86BB"/>
            <w:sz w:val="18"/>
            <w:szCs w:val="18"/>
            <w:u w:val="single"/>
            <w:bdr w:val="none" w:sz="0" w:space="0" w:color="auto" w:frame="1"/>
            <w:lang w:eastAsia="tr-TR"/>
          </w:rPr>
          <w:t>CLOSE</w:t>
        </w:r>
      </w:hyperlink>
    </w:p>
    <w:p w:rsidR="0045530E" w:rsidRPr="0045530E" w:rsidRDefault="0045530E" w:rsidP="0045530E">
      <w:pPr>
        <w:numPr>
          <w:ilvl w:val="0"/>
          <w:numId w:val="9"/>
        </w:numPr>
        <w:shd w:val="clear" w:color="auto" w:fill="FFFFFF"/>
        <w:spacing w:after="0" w:line="240" w:lineRule="auto"/>
        <w:ind w:left="0"/>
        <w:textAlignment w:val="baseline"/>
        <w:rPr>
          <w:rFonts w:ascii="inherit" w:eastAsia="Times New Roman" w:hAnsi="inherit" w:cs="Arial"/>
          <w:color w:val="222222"/>
          <w:sz w:val="21"/>
          <w:szCs w:val="21"/>
          <w:lang w:eastAsia="tr-TR"/>
        </w:rPr>
      </w:pPr>
      <w:hyperlink r:id="rId34" w:history="1">
        <w:r w:rsidRPr="0045530E">
          <w:rPr>
            <w:rFonts w:ascii="Arial" w:eastAsia="Times New Roman" w:hAnsi="Arial" w:cs="Arial"/>
            <w:caps/>
            <w:color w:val="000000"/>
            <w:sz w:val="30"/>
            <w:szCs w:val="30"/>
            <w:u w:val="single"/>
            <w:bdr w:val="none" w:sz="0" w:space="0" w:color="auto" w:frame="1"/>
            <w:lang w:eastAsia="tr-TR"/>
          </w:rPr>
          <w:t>HIGHLIGHTS OF PRESCRIBING INFORMATION</w:t>
        </w:r>
      </w:hyperlink>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Celecoxib 400 mg </w:t>
      </w:r>
      <w:r w:rsidRPr="0045530E">
        <w:rPr>
          <w:rFonts w:ascii="inherit" w:eastAsia="Times New Roman" w:hAnsi="inherit" w:cs="Arial"/>
          <w:color w:val="222222"/>
          <w:sz w:val="21"/>
          <w:szCs w:val="21"/>
          <w:lang w:eastAsia="tr-TR"/>
        </w:rPr>
        <w:br/>
      </w:r>
      <w:r w:rsidRPr="0045530E">
        <w:rPr>
          <w:rFonts w:ascii="inherit" w:eastAsia="Times New Roman" w:hAnsi="inherit" w:cs="Arial"/>
          <w:color w:val="222222"/>
          <w:sz w:val="21"/>
          <w:szCs w:val="21"/>
          <w:lang w:eastAsia="tr-TR"/>
        </w:rPr>
        <w:br/>
        <w:t>These highlights do not include all the information needed to use celecoxib safely and effectively. See full prescribing information for Celecoxib. </w:t>
      </w:r>
      <w:r w:rsidRPr="0045530E">
        <w:rPr>
          <w:rFonts w:ascii="inherit" w:eastAsia="Times New Roman" w:hAnsi="inherit" w:cs="Arial"/>
          <w:color w:val="222222"/>
          <w:sz w:val="21"/>
          <w:szCs w:val="21"/>
          <w:lang w:eastAsia="tr-TR"/>
        </w:rPr>
        <w:br/>
        <w:t>CELECOXIB capsules, for oral use </w:t>
      </w:r>
      <w:r w:rsidRPr="0045530E">
        <w:rPr>
          <w:rFonts w:ascii="inherit" w:eastAsia="Times New Roman" w:hAnsi="inherit" w:cs="Arial"/>
          <w:color w:val="222222"/>
          <w:sz w:val="21"/>
          <w:szCs w:val="21"/>
          <w:lang w:eastAsia="tr-TR"/>
        </w:rPr>
        <w:br/>
        <w:t>Initial U.S. Approval: 1998</w:t>
      </w:r>
    </w:p>
    <w:p w:rsidR="0045530E" w:rsidRPr="0045530E" w:rsidRDefault="0045530E" w:rsidP="0045530E">
      <w:pPr>
        <w:shd w:val="clear" w:color="auto" w:fill="FFFFFF"/>
        <w:spacing w:after="0" w:line="240" w:lineRule="auto"/>
        <w:ind w:left="450"/>
        <w:textAlignment w:val="baseline"/>
        <w:outlineLvl w:val="0"/>
        <w:rPr>
          <w:rFonts w:ascii="Arial" w:eastAsia="Times New Roman" w:hAnsi="Arial" w:cs="Arial"/>
          <w:caps/>
          <w:color w:val="000000"/>
          <w:kern w:val="36"/>
          <w:sz w:val="30"/>
          <w:szCs w:val="30"/>
          <w:lang w:eastAsia="tr-TR"/>
        </w:rPr>
      </w:pPr>
      <w:r w:rsidRPr="0045530E">
        <w:rPr>
          <w:rFonts w:ascii="inherit" w:eastAsia="Times New Roman" w:hAnsi="inherit" w:cs="Arial"/>
          <w:b/>
          <w:bCs/>
          <w:caps/>
          <w:color w:val="000000"/>
          <w:kern w:val="36"/>
          <w:sz w:val="30"/>
          <w:szCs w:val="30"/>
          <w:bdr w:val="none" w:sz="0" w:space="0" w:color="auto" w:frame="1"/>
          <w:lang w:eastAsia="tr-TR"/>
        </w:rPr>
        <w:t>WARNING: CARDIOVASCULAR AND GASTROINTESTINAL RISKS</w:t>
      </w:r>
      <w:r w:rsidRPr="0045530E">
        <w:rPr>
          <w:rFonts w:ascii="Arial" w:eastAsia="Times New Roman" w:hAnsi="Arial" w:cs="Arial"/>
          <w:caps/>
          <w:color w:val="000000"/>
          <w:kern w:val="36"/>
          <w:sz w:val="30"/>
          <w:szCs w:val="30"/>
          <w:lang w:eastAsia="tr-TR"/>
        </w:rPr>
        <w:t> </w:t>
      </w:r>
      <w:r w:rsidRPr="0045530E">
        <w:rPr>
          <w:rFonts w:ascii="Arial" w:eastAsia="Times New Roman" w:hAnsi="Arial" w:cs="Arial"/>
          <w:caps/>
          <w:color w:val="000000"/>
          <w:kern w:val="36"/>
          <w:sz w:val="30"/>
          <w:szCs w:val="30"/>
          <w:lang w:eastAsia="tr-TR"/>
        </w:rPr>
        <w:br/>
      </w:r>
      <w:r w:rsidRPr="0045530E">
        <w:rPr>
          <w:rFonts w:ascii="inherit" w:eastAsia="Times New Roman" w:hAnsi="inherit" w:cs="Arial"/>
          <w:b/>
          <w:bCs/>
          <w:i/>
          <w:iCs/>
          <w:caps/>
          <w:color w:val="000000"/>
          <w:kern w:val="36"/>
          <w:sz w:val="30"/>
          <w:szCs w:val="30"/>
          <w:bdr w:val="none" w:sz="0" w:space="0" w:color="auto" w:frame="1"/>
          <w:lang w:eastAsia="tr-TR"/>
        </w:rPr>
        <w:t>SEE FULL PRESCRIBING INFORMATION FOR COMPLETE BOXED WARNING</w:t>
      </w:r>
      <w:r w:rsidRPr="0045530E">
        <w:rPr>
          <w:rFonts w:ascii="Arial" w:eastAsia="Times New Roman" w:hAnsi="Arial" w:cs="Arial"/>
          <w:caps/>
          <w:color w:val="000000"/>
          <w:kern w:val="36"/>
          <w:sz w:val="30"/>
          <w:szCs w:val="30"/>
          <w:lang w:eastAsia="tr-TR"/>
        </w:rPr>
        <w:t> </w:t>
      </w:r>
    </w:p>
    <w:p w:rsidR="0045530E" w:rsidRPr="0045530E" w:rsidRDefault="0045530E" w:rsidP="0045530E">
      <w:pPr>
        <w:shd w:val="clear" w:color="auto" w:fill="FFFFFF"/>
        <w:spacing w:after="0" w:line="240" w:lineRule="auto"/>
        <w:ind w:left="450"/>
        <w:textAlignment w:val="baseline"/>
        <w:outlineLvl w:val="0"/>
        <w:rPr>
          <w:rFonts w:ascii="Arial" w:eastAsia="Times New Roman" w:hAnsi="Arial" w:cs="Arial"/>
          <w:caps/>
          <w:color w:val="000000"/>
          <w:kern w:val="36"/>
          <w:sz w:val="30"/>
          <w:szCs w:val="30"/>
          <w:lang w:eastAsia="tr-TR"/>
        </w:rPr>
      </w:pPr>
      <w:r w:rsidRPr="0045530E">
        <w:rPr>
          <w:rFonts w:ascii="Arial" w:eastAsia="Times New Roman" w:hAnsi="Arial" w:cs="Arial"/>
          <w:caps/>
          <w:color w:val="000000"/>
          <w:kern w:val="36"/>
          <w:sz w:val="30"/>
          <w:szCs w:val="30"/>
          <w:lang w:eastAsia="tr-TR"/>
        </w:rPr>
        <w:br/>
      </w:r>
      <w:r w:rsidRPr="0045530E">
        <w:rPr>
          <w:rFonts w:ascii="inherit" w:eastAsia="Times New Roman" w:hAnsi="inherit" w:cs="Arial"/>
          <w:b/>
          <w:bCs/>
          <w:caps/>
          <w:color w:val="000000"/>
          <w:kern w:val="36"/>
          <w:sz w:val="30"/>
          <w:szCs w:val="30"/>
          <w:u w:val="single"/>
          <w:bdr w:val="none" w:sz="0" w:space="0" w:color="auto" w:frame="1"/>
          <w:lang w:eastAsia="tr-TR"/>
        </w:rPr>
        <w:t>CARDIOVASCULARRISK</w:t>
      </w:r>
    </w:p>
    <w:p w:rsidR="0045530E" w:rsidRPr="0045530E" w:rsidRDefault="0045530E" w:rsidP="0045530E">
      <w:pPr>
        <w:numPr>
          <w:ilvl w:val="1"/>
          <w:numId w:val="9"/>
        </w:numPr>
        <w:shd w:val="clear" w:color="auto" w:fill="FFFFFF"/>
        <w:spacing w:after="0" w:line="240" w:lineRule="auto"/>
        <w:ind w:left="813" w:right="363"/>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color w:val="222222"/>
          <w:sz w:val="21"/>
          <w:szCs w:val="21"/>
          <w:bdr w:val="none" w:sz="0" w:space="0" w:color="auto" w:frame="1"/>
          <w:lang w:eastAsia="tr-TR"/>
        </w:rPr>
        <w:t xml:space="preserve">Celecoxib may cause an increased risk of serious cardiovascular thrombotic events, myocardial infarction, and stroke, which can be fatal. All NSAIDs may have a similar risk. This risk may increase with duration of use. Patients with cardiovascular disease or risk factors for cardiovascular disease may be at greater risk. (5.1, </w:t>
      </w:r>
      <w:proofErr w:type="gramStart"/>
      <w:r w:rsidRPr="0045530E">
        <w:rPr>
          <w:rFonts w:ascii="inherit" w:eastAsia="Times New Roman" w:hAnsi="inherit" w:cs="Arial"/>
          <w:b/>
          <w:bCs/>
          <w:color w:val="222222"/>
          <w:sz w:val="21"/>
          <w:szCs w:val="21"/>
          <w:bdr w:val="none" w:sz="0" w:space="0" w:color="auto" w:frame="1"/>
          <w:lang w:eastAsia="tr-TR"/>
        </w:rPr>
        <w:t>14.6</w:t>
      </w:r>
      <w:proofErr w:type="gramEnd"/>
      <w:r w:rsidRPr="0045530E">
        <w:rPr>
          <w:rFonts w:ascii="inherit" w:eastAsia="Times New Roman" w:hAnsi="inherit" w:cs="Arial"/>
          <w:b/>
          <w:bCs/>
          <w:color w:val="222222"/>
          <w:sz w:val="21"/>
          <w:szCs w:val="21"/>
          <w:bdr w:val="none" w:sz="0" w:space="0" w:color="auto" w:frame="1"/>
          <w:lang w:eastAsia="tr-TR"/>
        </w:rPr>
        <w:t>)</w:t>
      </w:r>
    </w:p>
    <w:p w:rsidR="0045530E" w:rsidRPr="0045530E" w:rsidRDefault="0045530E" w:rsidP="0045530E">
      <w:pPr>
        <w:numPr>
          <w:ilvl w:val="1"/>
          <w:numId w:val="9"/>
        </w:numPr>
        <w:shd w:val="clear" w:color="auto" w:fill="FFFFFF"/>
        <w:spacing w:after="0" w:line="240" w:lineRule="auto"/>
        <w:ind w:left="813" w:right="363"/>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color w:val="222222"/>
          <w:sz w:val="21"/>
          <w:szCs w:val="21"/>
          <w:bdr w:val="none" w:sz="0" w:space="0" w:color="auto" w:frame="1"/>
          <w:lang w:eastAsia="tr-TR"/>
        </w:rPr>
        <w:t xml:space="preserve">Celecoxib is contraindicated for the treatment of peri-operative pain in the setting of coronary artery bypass graft (CABG) surgery. (4, </w:t>
      </w:r>
      <w:proofErr w:type="gramStart"/>
      <w:r w:rsidRPr="0045530E">
        <w:rPr>
          <w:rFonts w:ascii="inherit" w:eastAsia="Times New Roman" w:hAnsi="inherit" w:cs="Arial"/>
          <w:b/>
          <w:bCs/>
          <w:color w:val="222222"/>
          <w:sz w:val="21"/>
          <w:szCs w:val="21"/>
          <w:bdr w:val="none" w:sz="0" w:space="0" w:color="auto" w:frame="1"/>
          <w:lang w:eastAsia="tr-TR"/>
        </w:rPr>
        <w:t>5.1</w:t>
      </w:r>
      <w:proofErr w:type="gramEnd"/>
      <w:r w:rsidRPr="0045530E">
        <w:rPr>
          <w:rFonts w:ascii="inherit" w:eastAsia="Times New Roman" w:hAnsi="inherit" w:cs="Arial"/>
          <w:b/>
          <w:bCs/>
          <w:color w:val="222222"/>
          <w:sz w:val="21"/>
          <w:szCs w:val="21"/>
          <w:bdr w:val="none" w:sz="0" w:space="0" w:color="auto" w:frame="1"/>
          <w:lang w:eastAsia="tr-TR"/>
        </w:rPr>
        <w:t>)</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br/>
      </w:r>
      <w:r w:rsidRPr="0045530E">
        <w:rPr>
          <w:rFonts w:ascii="inherit" w:eastAsia="Times New Roman" w:hAnsi="inherit" w:cs="Arial"/>
          <w:b/>
          <w:bCs/>
          <w:color w:val="222222"/>
          <w:sz w:val="21"/>
          <w:szCs w:val="21"/>
          <w:u w:val="single"/>
          <w:bdr w:val="none" w:sz="0" w:space="0" w:color="auto" w:frame="1"/>
          <w:lang w:eastAsia="tr-TR"/>
        </w:rPr>
        <w:t>Gastrointestinal Risk</w:t>
      </w:r>
    </w:p>
    <w:p w:rsidR="0045530E" w:rsidRPr="0045530E" w:rsidRDefault="0045530E" w:rsidP="0045530E">
      <w:pPr>
        <w:numPr>
          <w:ilvl w:val="1"/>
          <w:numId w:val="9"/>
        </w:numPr>
        <w:shd w:val="clear" w:color="auto" w:fill="FFFFFF"/>
        <w:spacing w:after="150" w:line="240" w:lineRule="auto"/>
        <w:ind w:left="813" w:right="363"/>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color w:val="222222"/>
          <w:sz w:val="21"/>
          <w:szCs w:val="21"/>
          <w:bdr w:val="none" w:sz="0" w:space="0" w:color="auto" w:frame="1"/>
          <w:lang w:eastAsia="tr-TR"/>
        </w:rPr>
        <w:t>NSAIDs, including celecoxib, cause an increased risk of serious gastrointestinal adverse events including bleeding, ulceration, and perforation of the stomach or intestines, which can be fatal. These events can occur at any time during use and without warning symptoms. Elderly patients are at greater risk for serious gastrointestinal (GI) events. (5.4)</w:t>
      </w:r>
    </w:p>
    <w:p w:rsidR="0045530E" w:rsidRPr="0045530E" w:rsidRDefault="0045530E" w:rsidP="0045530E">
      <w:pPr>
        <w:shd w:val="clear" w:color="auto" w:fill="FFFFFF"/>
        <w:spacing w:after="0" w:line="240" w:lineRule="auto"/>
        <w:ind w:left="450"/>
        <w:jc w:val="center"/>
        <w:textAlignment w:val="baseline"/>
        <w:outlineLvl w:val="0"/>
        <w:rPr>
          <w:rFonts w:ascii="Arial" w:eastAsia="Times New Roman" w:hAnsi="Arial" w:cs="Arial"/>
          <w:caps/>
          <w:color w:val="000000"/>
          <w:kern w:val="36"/>
          <w:sz w:val="24"/>
          <w:szCs w:val="24"/>
          <w:lang w:eastAsia="tr-TR"/>
        </w:rPr>
      </w:pPr>
      <w:r w:rsidRPr="0045530E">
        <w:rPr>
          <w:rFonts w:ascii="inherit" w:eastAsia="Times New Roman" w:hAnsi="inherit" w:cs="Arial"/>
          <w:caps/>
          <w:color w:val="000000"/>
          <w:kern w:val="36"/>
          <w:sz w:val="24"/>
          <w:szCs w:val="24"/>
          <w:bdr w:val="none" w:sz="0" w:space="0" w:color="auto" w:frame="1"/>
          <w:shd w:val="clear" w:color="auto" w:fill="FFFFFF"/>
          <w:lang w:eastAsia="tr-TR"/>
        </w:rPr>
        <w:t>INDICATIONS AND USAGE</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Celecoxib is a nonsteroidal anti-inflammatory drug indicated for: (</w:t>
      </w:r>
      <w:hyperlink r:id="rId35" w:anchor="section-1" w:history="1">
        <w:r w:rsidRPr="0045530E">
          <w:rPr>
            <w:rFonts w:ascii="Arial" w:eastAsia="Times New Roman" w:hAnsi="Arial" w:cs="Arial"/>
            <w:caps/>
            <w:color w:val="1D86BB"/>
            <w:sz w:val="21"/>
            <w:szCs w:val="21"/>
            <w:u w:val="single"/>
            <w:bdr w:val="none" w:sz="0" w:space="0" w:color="auto" w:frame="1"/>
            <w:lang w:eastAsia="tr-TR"/>
          </w:rPr>
          <w:t>1</w:t>
        </w:r>
      </w:hyperlink>
      <w:r w:rsidRPr="0045530E">
        <w:rPr>
          <w:rFonts w:ascii="inherit" w:eastAsia="Times New Roman" w:hAnsi="inherit" w:cs="Arial"/>
          <w:color w:val="222222"/>
          <w:sz w:val="21"/>
          <w:szCs w:val="21"/>
          <w:lang w:eastAsia="tr-TR"/>
        </w:rPr>
        <w:t>)</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color w:val="222222"/>
          <w:sz w:val="21"/>
          <w:szCs w:val="21"/>
          <w:bdr w:val="none" w:sz="0" w:space="0" w:color="auto" w:frame="1"/>
          <w:lang w:eastAsia="tr-TR"/>
        </w:rPr>
        <w:t>•</w:t>
      </w:r>
      <w:r w:rsidRPr="0045530E">
        <w:rPr>
          <w:rFonts w:ascii="inherit" w:eastAsia="Times New Roman" w:hAnsi="inherit" w:cs="Arial"/>
          <w:color w:val="222222"/>
          <w:sz w:val="21"/>
          <w:szCs w:val="21"/>
          <w:lang w:eastAsia="tr-TR"/>
        </w:rPr>
        <w:t> Osteoarthritis (OA) (</w:t>
      </w:r>
      <w:proofErr w:type="gramStart"/>
      <w:r w:rsidRPr="0045530E">
        <w:rPr>
          <w:rFonts w:ascii="inherit" w:eastAsia="Times New Roman" w:hAnsi="inherit" w:cs="Arial"/>
          <w:color w:val="222222"/>
          <w:sz w:val="21"/>
          <w:szCs w:val="21"/>
          <w:lang w:eastAsia="tr-TR"/>
        </w:rPr>
        <w:t>1.1</w:t>
      </w:r>
      <w:proofErr w:type="gramEnd"/>
      <w:r w:rsidRPr="0045530E">
        <w:rPr>
          <w:rFonts w:ascii="inherit" w:eastAsia="Times New Roman" w:hAnsi="inherit" w:cs="Arial"/>
          <w:color w:val="222222"/>
          <w:sz w:val="21"/>
          <w:szCs w:val="21"/>
          <w:lang w:eastAsia="tr-TR"/>
        </w:rPr>
        <w:t>)R</w:t>
      </w:r>
      <w:r w:rsidRPr="0045530E">
        <w:rPr>
          <w:rFonts w:ascii="inherit" w:eastAsia="Times New Roman" w:hAnsi="inherit" w:cs="Arial"/>
          <w:color w:val="222222"/>
          <w:sz w:val="21"/>
          <w:szCs w:val="21"/>
          <w:lang w:eastAsia="tr-TR"/>
        </w:rPr>
        <w:br/>
      </w:r>
      <w:r w:rsidRPr="0045530E">
        <w:rPr>
          <w:rFonts w:ascii="inherit" w:eastAsia="Times New Roman" w:hAnsi="inherit" w:cs="Arial"/>
          <w:b/>
          <w:bCs/>
          <w:color w:val="222222"/>
          <w:sz w:val="21"/>
          <w:szCs w:val="21"/>
          <w:bdr w:val="none" w:sz="0" w:space="0" w:color="auto" w:frame="1"/>
          <w:lang w:eastAsia="tr-TR"/>
        </w:rPr>
        <w:t>•</w:t>
      </w:r>
      <w:r w:rsidRPr="0045530E">
        <w:rPr>
          <w:rFonts w:ascii="inherit" w:eastAsia="Times New Roman" w:hAnsi="inherit" w:cs="Arial"/>
          <w:color w:val="222222"/>
          <w:sz w:val="21"/>
          <w:szCs w:val="21"/>
          <w:lang w:eastAsia="tr-TR"/>
        </w:rPr>
        <w:t> heumatoid Arthritis (RA) (1.2)</w:t>
      </w:r>
      <w:r w:rsidRPr="0045530E">
        <w:rPr>
          <w:rFonts w:ascii="inherit" w:eastAsia="Times New Roman" w:hAnsi="inherit" w:cs="Arial"/>
          <w:color w:val="222222"/>
          <w:sz w:val="21"/>
          <w:szCs w:val="21"/>
          <w:lang w:eastAsia="tr-TR"/>
        </w:rPr>
        <w:br/>
      </w:r>
      <w:r w:rsidRPr="0045530E">
        <w:rPr>
          <w:rFonts w:ascii="inherit" w:eastAsia="Times New Roman" w:hAnsi="inherit" w:cs="Arial"/>
          <w:b/>
          <w:bCs/>
          <w:color w:val="222222"/>
          <w:sz w:val="21"/>
          <w:szCs w:val="21"/>
          <w:bdr w:val="none" w:sz="0" w:space="0" w:color="auto" w:frame="1"/>
          <w:lang w:eastAsia="tr-TR"/>
        </w:rPr>
        <w:t>•</w:t>
      </w:r>
      <w:r w:rsidRPr="0045530E">
        <w:rPr>
          <w:rFonts w:ascii="inherit" w:eastAsia="Times New Roman" w:hAnsi="inherit" w:cs="Arial"/>
          <w:color w:val="222222"/>
          <w:sz w:val="21"/>
          <w:szCs w:val="21"/>
          <w:lang w:eastAsia="tr-TR"/>
        </w:rPr>
        <w:t> Juvenile Rheumatoid Arthritis (JRA) in patients 2 years and older (1.3)</w:t>
      </w:r>
      <w:r w:rsidRPr="0045530E">
        <w:rPr>
          <w:rFonts w:ascii="inherit" w:eastAsia="Times New Roman" w:hAnsi="inherit" w:cs="Arial"/>
          <w:color w:val="222222"/>
          <w:sz w:val="21"/>
          <w:szCs w:val="21"/>
          <w:lang w:eastAsia="tr-TR"/>
        </w:rPr>
        <w:br/>
      </w:r>
      <w:r w:rsidRPr="0045530E">
        <w:rPr>
          <w:rFonts w:ascii="inherit" w:eastAsia="Times New Roman" w:hAnsi="inherit" w:cs="Arial"/>
          <w:b/>
          <w:bCs/>
          <w:color w:val="222222"/>
          <w:sz w:val="21"/>
          <w:szCs w:val="21"/>
          <w:bdr w:val="none" w:sz="0" w:space="0" w:color="auto" w:frame="1"/>
          <w:lang w:eastAsia="tr-TR"/>
        </w:rPr>
        <w:t>•</w:t>
      </w:r>
      <w:r w:rsidRPr="0045530E">
        <w:rPr>
          <w:rFonts w:ascii="inherit" w:eastAsia="Times New Roman" w:hAnsi="inherit" w:cs="Arial"/>
          <w:color w:val="222222"/>
          <w:sz w:val="21"/>
          <w:szCs w:val="21"/>
          <w:lang w:eastAsia="tr-TR"/>
        </w:rPr>
        <w:t> Ankylosing Spondylitis (AS) (1.4)</w:t>
      </w:r>
      <w:r w:rsidRPr="0045530E">
        <w:rPr>
          <w:rFonts w:ascii="inherit" w:eastAsia="Times New Roman" w:hAnsi="inherit" w:cs="Arial"/>
          <w:color w:val="222222"/>
          <w:sz w:val="21"/>
          <w:szCs w:val="21"/>
          <w:lang w:eastAsia="tr-TR"/>
        </w:rPr>
        <w:br/>
      </w:r>
      <w:r w:rsidRPr="0045530E">
        <w:rPr>
          <w:rFonts w:ascii="inherit" w:eastAsia="Times New Roman" w:hAnsi="inherit" w:cs="Arial"/>
          <w:b/>
          <w:bCs/>
          <w:color w:val="222222"/>
          <w:sz w:val="21"/>
          <w:szCs w:val="21"/>
          <w:bdr w:val="none" w:sz="0" w:space="0" w:color="auto" w:frame="1"/>
          <w:lang w:eastAsia="tr-TR"/>
        </w:rPr>
        <w:t>•</w:t>
      </w:r>
      <w:r w:rsidRPr="0045530E">
        <w:rPr>
          <w:rFonts w:ascii="inherit" w:eastAsia="Times New Roman" w:hAnsi="inherit" w:cs="Arial"/>
          <w:color w:val="222222"/>
          <w:sz w:val="21"/>
          <w:szCs w:val="21"/>
          <w:lang w:eastAsia="tr-TR"/>
        </w:rPr>
        <w:t> Acute Pain (AP) (1.5)</w:t>
      </w:r>
      <w:r w:rsidRPr="0045530E">
        <w:rPr>
          <w:rFonts w:ascii="inherit" w:eastAsia="Times New Roman" w:hAnsi="inherit" w:cs="Arial"/>
          <w:color w:val="222222"/>
          <w:sz w:val="21"/>
          <w:szCs w:val="21"/>
          <w:lang w:eastAsia="tr-TR"/>
        </w:rPr>
        <w:br/>
      </w:r>
      <w:r w:rsidRPr="0045530E">
        <w:rPr>
          <w:rFonts w:ascii="inherit" w:eastAsia="Times New Roman" w:hAnsi="inherit" w:cs="Arial"/>
          <w:b/>
          <w:bCs/>
          <w:color w:val="222222"/>
          <w:sz w:val="21"/>
          <w:szCs w:val="21"/>
          <w:bdr w:val="none" w:sz="0" w:space="0" w:color="auto" w:frame="1"/>
          <w:lang w:eastAsia="tr-TR"/>
        </w:rPr>
        <w:t>•</w:t>
      </w:r>
      <w:r w:rsidRPr="0045530E">
        <w:rPr>
          <w:rFonts w:ascii="inherit" w:eastAsia="Times New Roman" w:hAnsi="inherit" w:cs="Arial"/>
          <w:color w:val="222222"/>
          <w:sz w:val="21"/>
          <w:szCs w:val="21"/>
          <w:lang w:eastAsia="tr-TR"/>
        </w:rPr>
        <w:t> Primary Dysmenorrhea (PD) (1.6) (</w:t>
      </w:r>
      <w:hyperlink r:id="rId36" w:anchor="section-1" w:history="1">
        <w:r w:rsidRPr="0045530E">
          <w:rPr>
            <w:rFonts w:ascii="Arial" w:eastAsia="Times New Roman" w:hAnsi="Arial" w:cs="Arial"/>
            <w:caps/>
            <w:color w:val="1D86BB"/>
            <w:sz w:val="21"/>
            <w:szCs w:val="21"/>
            <w:u w:val="single"/>
            <w:bdr w:val="none" w:sz="0" w:space="0" w:color="auto" w:frame="1"/>
            <w:lang w:eastAsia="tr-TR"/>
          </w:rPr>
          <w:t>1</w:t>
        </w:r>
      </w:hyperlink>
      <w:r w:rsidRPr="0045530E">
        <w:rPr>
          <w:rFonts w:ascii="inherit" w:eastAsia="Times New Roman" w:hAnsi="inherit" w:cs="Arial"/>
          <w:color w:val="222222"/>
          <w:sz w:val="21"/>
          <w:szCs w:val="21"/>
          <w:lang w:eastAsia="tr-TR"/>
        </w:rPr>
        <w:t>)</w:t>
      </w:r>
    </w:p>
    <w:p w:rsidR="0045530E" w:rsidRPr="0045530E" w:rsidRDefault="0045530E" w:rsidP="0045530E">
      <w:pPr>
        <w:shd w:val="clear" w:color="auto" w:fill="FFFFFF"/>
        <w:spacing w:after="0" w:line="240" w:lineRule="auto"/>
        <w:ind w:left="450"/>
        <w:jc w:val="center"/>
        <w:textAlignment w:val="baseline"/>
        <w:outlineLvl w:val="0"/>
        <w:rPr>
          <w:rFonts w:ascii="Arial" w:eastAsia="Times New Roman" w:hAnsi="Arial" w:cs="Arial"/>
          <w:caps/>
          <w:color w:val="000000"/>
          <w:kern w:val="36"/>
          <w:sz w:val="24"/>
          <w:szCs w:val="24"/>
          <w:lang w:eastAsia="tr-TR"/>
        </w:rPr>
      </w:pPr>
      <w:r w:rsidRPr="0045530E">
        <w:rPr>
          <w:rFonts w:ascii="inherit" w:eastAsia="Times New Roman" w:hAnsi="inherit" w:cs="Arial"/>
          <w:caps/>
          <w:color w:val="000000"/>
          <w:kern w:val="36"/>
          <w:sz w:val="24"/>
          <w:szCs w:val="24"/>
          <w:bdr w:val="none" w:sz="0" w:space="0" w:color="auto" w:frame="1"/>
          <w:shd w:val="clear" w:color="auto" w:fill="FFFFFF"/>
          <w:lang w:eastAsia="tr-TR"/>
        </w:rPr>
        <w:t>DOSAGE AND ADMINISTRATION</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color w:val="222222"/>
          <w:sz w:val="21"/>
          <w:szCs w:val="21"/>
          <w:bdr w:val="none" w:sz="0" w:space="0" w:color="auto" w:frame="1"/>
          <w:lang w:eastAsia="tr-TR"/>
        </w:rPr>
        <w:t xml:space="preserve">Use lowest effective dose for the shortest duration consistent with treatment goals for the individual patient. (1, </w:t>
      </w:r>
      <w:proofErr w:type="gramStart"/>
      <w:r w:rsidRPr="0045530E">
        <w:rPr>
          <w:rFonts w:ascii="inherit" w:eastAsia="Times New Roman" w:hAnsi="inherit" w:cs="Arial"/>
          <w:b/>
          <w:bCs/>
          <w:color w:val="222222"/>
          <w:sz w:val="21"/>
          <w:szCs w:val="21"/>
          <w:bdr w:val="none" w:sz="0" w:space="0" w:color="auto" w:frame="1"/>
          <w:lang w:eastAsia="tr-TR"/>
        </w:rPr>
        <w:t>5.1</w:t>
      </w:r>
      <w:proofErr w:type="gramEnd"/>
      <w:r w:rsidRPr="0045530E">
        <w:rPr>
          <w:rFonts w:ascii="inherit" w:eastAsia="Times New Roman" w:hAnsi="inherit" w:cs="Arial"/>
          <w:b/>
          <w:bCs/>
          <w:color w:val="222222"/>
          <w:sz w:val="21"/>
          <w:szCs w:val="21"/>
          <w:bdr w:val="none" w:sz="0" w:space="0" w:color="auto" w:frame="1"/>
          <w:lang w:eastAsia="tr-TR"/>
        </w:rPr>
        <w:t>, 5.4)</w:t>
      </w:r>
      <w:r w:rsidRPr="0045530E">
        <w:rPr>
          <w:rFonts w:ascii="inherit" w:eastAsia="Times New Roman" w:hAnsi="inherit" w:cs="Arial"/>
          <w:color w:val="222222"/>
          <w:sz w:val="21"/>
          <w:szCs w:val="21"/>
          <w:lang w:eastAsia="tr-TR"/>
        </w:rPr>
        <w:t> (</w:t>
      </w:r>
      <w:hyperlink r:id="rId37" w:anchor="section-2" w:history="1">
        <w:r w:rsidRPr="0045530E">
          <w:rPr>
            <w:rFonts w:ascii="Arial" w:eastAsia="Times New Roman" w:hAnsi="Arial" w:cs="Arial"/>
            <w:caps/>
            <w:color w:val="1D86BB"/>
            <w:sz w:val="21"/>
            <w:szCs w:val="21"/>
            <w:u w:val="single"/>
            <w:bdr w:val="none" w:sz="0" w:space="0" w:color="auto" w:frame="1"/>
            <w:lang w:eastAsia="tr-TR"/>
          </w:rPr>
          <w:t>2</w:t>
        </w:r>
      </w:hyperlink>
      <w:r w:rsidRPr="0045530E">
        <w:rPr>
          <w:rFonts w:ascii="inherit" w:eastAsia="Times New Roman" w:hAnsi="inherit" w:cs="Arial"/>
          <w:color w:val="222222"/>
          <w:sz w:val="21"/>
          <w:szCs w:val="21"/>
          <w:lang w:eastAsia="tr-TR"/>
        </w:rPr>
        <w:t>)</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color w:val="222222"/>
          <w:sz w:val="21"/>
          <w:szCs w:val="21"/>
          <w:bdr w:val="none" w:sz="0" w:space="0" w:color="auto" w:frame="1"/>
          <w:lang w:eastAsia="tr-TR"/>
        </w:rPr>
        <w:t>• </w:t>
      </w:r>
      <w:r w:rsidRPr="0045530E">
        <w:rPr>
          <w:rFonts w:ascii="inherit" w:eastAsia="Times New Roman" w:hAnsi="inherit" w:cs="Arial"/>
          <w:color w:val="222222"/>
          <w:sz w:val="21"/>
          <w:szCs w:val="21"/>
          <w:lang w:eastAsia="tr-TR"/>
        </w:rPr>
        <w:t>OA: 200 mg once daily or 100 mg twice daily (</w:t>
      </w:r>
      <w:proofErr w:type="gramStart"/>
      <w:r w:rsidRPr="0045530E">
        <w:rPr>
          <w:rFonts w:ascii="inherit" w:eastAsia="Times New Roman" w:hAnsi="inherit" w:cs="Arial"/>
          <w:color w:val="222222"/>
          <w:sz w:val="21"/>
          <w:szCs w:val="21"/>
          <w:lang w:eastAsia="tr-TR"/>
        </w:rPr>
        <w:t>2.1</w:t>
      </w:r>
      <w:proofErr w:type="gramEnd"/>
      <w:r w:rsidRPr="0045530E">
        <w:rPr>
          <w:rFonts w:ascii="inherit" w:eastAsia="Times New Roman" w:hAnsi="inherit" w:cs="Arial"/>
          <w:color w:val="222222"/>
          <w:sz w:val="21"/>
          <w:szCs w:val="21"/>
          <w:lang w:eastAsia="tr-TR"/>
        </w:rPr>
        <w:t>, 14.1)</w:t>
      </w:r>
      <w:r w:rsidRPr="0045530E">
        <w:rPr>
          <w:rFonts w:ascii="inherit" w:eastAsia="Times New Roman" w:hAnsi="inherit" w:cs="Arial"/>
          <w:b/>
          <w:bCs/>
          <w:color w:val="222222"/>
          <w:sz w:val="21"/>
          <w:szCs w:val="21"/>
          <w:bdr w:val="none" w:sz="0" w:space="0" w:color="auto" w:frame="1"/>
          <w:lang w:eastAsia="tr-TR"/>
        </w:rPr>
        <w:t> </w:t>
      </w:r>
      <w:r w:rsidRPr="0045530E">
        <w:rPr>
          <w:rFonts w:ascii="inherit" w:eastAsia="Times New Roman" w:hAnsi="inherit" w:cs="Arial"/>
          <w:b/>
          <w:bCs/>
          <w:color w:val="222222"/>
          <w:sz w:val="21"/>
          <w:szCs w:val="21"/>
          <w:bdr w:val="none" w:sz="0" w:space="0" w:color="auto" w:frame="1"/>
          <w:lang w:eastAsia="tr-TR"/>
        </w:rPr>
        <w:br/>
        <w:t>• </w:t>
      </w:r>
      <w:r w:rsidRPr="0045530E">
        <w:rPr>
          <w:rFonts w:ascii="inherit" w:eastAsia="Times New Roman" w:hAnsi="inherit" w:cs="Arial"/>
          <w:color w:val="222222"/>
          <w:sz w:val="21"/>
          <w:szCs w:val="21"/>
          <w:lang w:eastAsia="tr-TR"/>
        </w:rPr>
        <w:t>RA: 100 to 200 mg twice daily (2.2, 14.2)</w:t>
      </w:r>
      <w:r w:rsidRPr="0045530E">
        <w:rPr>
          <w:rFonts w:ascii="inherit" w:eastAsia="Times New Roman" w:hAnsi="inherit" w:cs="Arial"/>
          <w:b/>
          <w:bCs/>
          <w:color w:val="222222"/>
          <w:sz w:val="21"/>
          <w:szCs w:val="21"/>
          <w:bdr w:val="none" w:sz="0" w:space="0" w:color="auto" w:frame="1"/>
          <w:lang w:eastAsia="tr-TR"/>
        </w:rPr>
        <w:t> </w:t>
      </w:r>
      <w:r w:rsidRPr="0045530E">
        <w:rPr>
          <w:rFonts w:ascii="inherit" w:eastAsia="Times New Roman" w:hAnsi="inherit" w:cs="Arial"/>
          <w:b/>
          <w:bCs/>
          <w:color w:val="222222"/>
          <w:sz w:val="21"/>
          <w:szCs w:val="21"/>
          <w:bdr w:val="none" w:sz="0" w:space="0" w:color="auto" w:frame="1"/>
          <w:lang w:eastAsia="tr-TR"/>
        </w:rPr>
        <w:br/>
        <w:t>• </w:t>
      </w:r>
      <w:r w:rsidRPr="0045530E">
        <w:rPr>
          <w:rFonts w:ascii="inherit" w:eastAsia="Times New Roman" w:hAnsi="inherit" w:cs="Arial"/>
          <w:color w:val="222222"/>
          <w:sz w:val="21"/>
          <w:szCs w:val="21"/>
          <w:lang w:eastAsia="tr-TR"/>
        </w:rPr>
        <w:t>JRA: 50 mg twice daily in patients 10 to 25 kg. 100 mg twice daily in patients more than 25 kg (2.3, 14.3)</w:t>
      </w:r>
      <w:r w:rsidRPr="0045530E">
        <w:rPr>
          <w:rFonts w:ascii="inherit" w:eastAsia="Times New Roman" w:hAnsi="inherit" w:cs="Arial"/>
          <w:b/>
          <w:bCs/>
          <w:color w:val="222222"/>
          <w:sz w:val="21"/>
          <w:szCs w:val="21"/>
          <w:bdr w:val="none" w:sz="0" w:space="0" w:color="auto" w:frame="1"/>
          <w:lang w:eastAsia="tr-TR"/>
        </w:rPr>
        <w:t> </w:t>
      </w:r>
      <w:r w:rsidRPr="0045530E">
        <w:rPr>
          <w:rFonts w:ascii="inherit" w:eastAsia="Times New Roman" w:hAnsi="inherit" w:cs="Arial"/>
          <w:b/>
          <w:bCs/>
          <w:color w:val="222222"/>
          <w:sz w:val="21"/>
          <w:szCs w:val="21"/>
          <w:bdr w:val="none" w:sz="0" w:space="0" w:color="auto" w:frame="1"/>
          <w:lang w:eastAsia="tr-TR"/>
        </w:rPr>
        <w:br/>
        <w:t>•</w:t>
      </w:r>
      <w:r w:rsidRPr="0045530E">
        <w:rPr>
          <w:rFonts w:ascii="inherit" w:eastAsia="Times New Roman" w:hAnsi="inherit" w:cs="Arial"/>
          <w:color w:val="222222"/>
          <w:sz w:val="21"/>
          <w:szCs w:val="21"/>
          <w:lang w:eastAsia="tr-TR"/>
        </w:rPr>
        <w:t> AS: 200 mg once daily single dose or 100 mg twice daily. If no effect is observed after 6 weeks, a trial of 400 mg (single or divided doses) may be    of benefit (</w:t>
      </w:r>
      <w:proofErr w:type="gramStart"/>
      <w:r w:rsidRPr="0045530E">
        <w:rPr>
          <w:rFonts w:ascii="inherit" w:eastAsia="Times New Roman" w:hAnsi="inherit" w:cs="Arial"/>
          <w:color w:val="222222"/>
          <w:sz w:val="21"/>
          <w:szCs w:val="21"/>
          <w:lang w:eastAsia="tr-TR"/>
        </w:rPr>
        <w:t>2.4</w:t>
      </w:r>
      <w:proofErr w:type="gramEnd"/>
      <w:r w:rsidRPr="0045530E">
        <w:rPr>
          <w:rFonts w:ascii="inherit" w:eastAsia="Times New Roman" w:hAnsi="inherit" w:cs="Arial"/>
          <w:color w:val="222222"/>
          <w:sz w:val="21"/>
          <w:szCs w:val="21"/>
          <w:lang w:eastAsia="tr-TR"/>
        </w:rPr>
        <w:t>, 14.4) (</w:t>
      </w:r>
      <w:hyperlink r:id="rId38" w:anchor="section-2" w:history="1">
        <w:r w:rsidRPr="0045530E">
          <w:rPr>
            <w:rFonts w:ascii="Arial" w:eastAsia="Times New Roman" w:hAnsi="Arial" w:cs="Arial"/>
            <w:caps/>
            <w:color w:val="1D86BB"/>
            <w:sz w:val="21"/>
            <w:szCs w:val="21"/>
            <w:u w:val="single"/>
            <w:bdr w:val="none" w:sz="0" w:space="0" w:color="auto" w:frame="1"/>
            <w:lang w:eastAsia="tr-TR"/>
          </w:rPr>
          <w:t>2</w:t>
        </w:r>
      </w:hyperlink>
      <w:r w:rsidRPr="0045530E">
        <w:rPr>
          <w:rFonts w:ascii="inherit" w:eastAsia="Times New Roman" w:hAnsi="inherit" w:cs="Arial"/>
          <w:color w:val="222222"/>
          <w:sz w:val="21"/>
          <w:szCs w:val="21"/>
          <w:lang w:eastAsia="tr-TR"/>
        </w:rPr>
        <w:t>)</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AP and PD: 400 mg initially, followed by 200 mg dose if needed on first day. On subsequent days, 200 mg twice daily as needed (</w:t>
      </w:r>
      <w:proofErr w:type="gramStart"/>
      <w:r w:rsidRPr="0045530E">
        <w:rPr>
          <w:rFonts w:ascii="inherit" w:eastAsia="Times New Roman" w:hAnsi="inherit" w:cs="Arial"/>
          <w:color w:val="222222"/>
          <w:sz w:val="21"/>
          <w:szCs w:val="21"/>
          <w:lang w:eastAsia="tr-TR"/>
        </w:rPr>
        <w:t>2.5</w:t>
      </w:r>
      <w:proofErr w:type="gramEnd"/>
      <w:r w:rsidRPr="0045530E">
        <w:rPr>
          <w:rFonts w:ascii="inherit" w:eastAsia="Times New Roman" w:hAnsi="inherit" w:cs="Arial"/>
          <w:color w:val="222222"/>
          <w:sz w:val="21"/>
          <w:szCs w:val="21"/>
          <w:lang w:eastAsia="tr-TR"/>
        </w:rPr>
        <w:t>, 14.5) (</w:t>
      </w:r>
      <w:hyperlink r:id="rId39" w:anchor="section-2" w:history="1">
        <w:r w:rsidRPr="0045530E">
          <w:rPr>
            <w:rFonts w:ascii="Arial" w:eastAsia="Times New Roman" w:hAnsi="Arial" w:cs="Arial"/>
            <w:caps/>
            <w:color w:val="1D86BB"/>
            <w:sz w:val="21"/>
            <w:szCs w:val="21"/>
            <w:u w:val="single"/>
            <w:bdr w:val="none" w:sz="0" w:space="0" w:color="auto" w:frame="1"/>
            <w:lang w:eastAsia="tr-TR"/>
          </w:rPr>
          <w:t>2</w:t>
        </w:r>
      </w:hyperlink>
      <w:r w:rsidRPr="0045530E">
        <w:rPr>
          <w:rFonts w:ascii="inherit" w:eastAsia="Times New Roman" w:hAnsi="inherit" w:cs="Arial"/>
          <w:color w:val="222222"/>
          <w:sz w:val="21"/>
          <w:szCs w:val="21"/>
          <w:lang w:eastAsia="tr-TR"/>
        </w:rPr>
        <w:t>)</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Reduce daily dose by 50% in patients with moderate hepatic impairment (Child-Pugh Class B). (</w:t>
      </w:r>
      <w:hyperlink r:id="rId40" w:anchor="section-2" w:history="1">
        <w:r w:rsidRPr="0045530E">
          <w:rPr>
            <w:rFonts w:ascii="Arial" w:eastAsia="Times New Roman" w:hAnsi="Arial" w:cs="Arial"/>
            <w:caps/>
            <w:color w:val="1D86BB"/>
            <w:sz w:val="21"/>
            <w:szCs w:val="21"/>
            <w:u w:val="single"/>
            <w:bdr w:val="none" w:sz="0" w:space="0" w:color="auto" w:frame="1"/>
            <w:lang w:eastAsia="tr-TR"/>
          </w:rPr>
          <w:t>2</w:t>
        </w:r>
      </w:hyperlink>
      <w:r w:rsidRPr="0045530E">
        <w:rPr>
          <w:rFonts w:ascii="inherit" w:eastAsia="Times New Roman" w:hAnsi="inherit" w:cs="Arial"/>
          <w:color w:val="222222"/>
          <w:sz w:val="21"/>
          <w:szCs w:val="21"/>
          <w:lang w:eastAsia="tr-TR"/>
        </w:rPr>
        <w:t>)</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Consider a dose reduction by 50% (or alternative management for JRA) in patients who are known or suspected to be CYP2C9 poor metabolizers, (</w:t>
      </w:r>
      <w:proofErr w:type="gramStart"/>
      <w:r w:rsidRPr="0045530E">
        <w:rPr>
          <w:rFonts w:ascii="inherit" w:eastAsia="Times New Roman" w:hAnsi="inherit" w:cs="Arial"/>
          <w:color w:val="222222"/>
          <w:sz w:val="21"/>
          <w:szCs w:val="21"/>
          <w:lang w:eastAsia="tr-TR"/>
        </w:rPr>
        <w:t>2.6</w:t>
      </w:r>
      <w:proofErr w:type="gramEnd"/>
      <w:r w:rsidRPr="0045530E">
        <w:rPr>
          <w:rFonts w:ascii="inherit" w:eastAsia="Times New Roman" w:hAnsi="inherit" w:cs="Arial"/>
          <w:color w:val="222222"/>
          <w:sz w:val="21"/>
          <w:szCs w:val="21"/>
          <w:lang w:eastAsia="tr-TR"/>
        </w:rPr>
        <w:t>, 8.4, 8.8, 12.3). (</w:t>
      </w:r>
      <w:hyperlink r:id="rId41" w:anchor="section-2" w:history="1">
        <w:r w:rsidRPr="0045530E">
          <w:rPr>
            <w:rFonts w:ascii="Arial" w:eastAsia="Times New Roman" w:hAnsi="Arial" w:cs="Arial"/>
            <w:caps/>
            <w:color w:val="1D86BB"/>
            <w:sz w:val="21"/>
            <w:szCs w:val="21"/>
            <w:u w:val="single"/>
            <w:bdr w:val="none" w:sz="0" w:space="0" w:color="auto" w:frame="1"/>
            <w:lang w:eastAsia="tr-TR"/>
          </w:rPr>
          <w:t>2</w:t>
        </w:r>
      </w:hyperlink>
      <w:r w:rsidRPr="0045530E">
        <w:rPr>
          <w:rFonts w:ascii="inherit" w:eastAsia="Times New Roman" w:hAnsi="inherit" w:cs="Arial"/>
          <w:color w:val="222222"/>
          <w:sz w:val="21"/>
          <w:szCs w:val="21"/>
          <w:lang w:eastAsia="tr-TR"/>
        </w:rPr>
        <w:t>)</w:t>
      </w:r>
    </w:p>
    <w:p w:rsidR="0045530E" w:rsidRPr="0045530E" w:rsidRDefault="0045530E" w:rsidP="0045530E">
      <w:pPr>
        <w:shd w:val="clear" w:color="auto" w:fill="FFFFFF"/>
        <w:spacing w:after="0" w:line="240" w:lineRule="auto"/>
        <w:ind w:left="450"/>
        <w:jc w:val="center"/>
        <w:textAlignment w:val="baseline"/>
        <w:outlineLvl w:val="0"/>
        <w:rPr>
          <w:rFonts w:ascii="Arial" w:eastAsia="Times New Roman" w:hAnsi="Arial" w:cs="Arial"/>
          <w:caps/>
          <w:color w:val="000000"/>
          <w:kern w:val="36"/>
          <w:sz w:val="24"/>
          <w:szCs w:val="24"/>
          <w:lang w:eastAsia="tr-TR"/>
        </w:rPr>
      </w:pPr>
      <w:r w:rsidRPr="0045530E">
        <w:rPr>
          <w:rFonts w:ascii="inherit" w:eastAsia="Times New Roman" w:hAnsi="inherit" w:cs="Arial"/>
          <w:caps/>
          <w:color w:val="000000"/>
          <w:kern w:val="36"/>
          <w:sz w:val="24"/>
          <w:szCs w:val="24"/>
          <w:bdr w:val="none" w:sz="0" w:space="0" w:color="auto" w:frame="1"/>
          <w:shd w:val="clear" w:color="auto" w:fill="FFFFFF"/>
          <w:lang w:eastAsia="tr-TR"/>
        </w:rPr>
        <w:t>DOSAGE FORMS AND STRENGTHS</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Capsules: 50 mg, 100 mg, 200 mg and 400 mg (3) (</w:t>
      </w:r>
      <w:hyperlink r:id="rId42" w:anchor="section-3" w:history="1">
        <w:r w:rsidRPr="0045530E">
          <w:rPr>
            <w:rFonts w:ascii="Arial" w:eastAsia="Times New Roman" w:hAnsi="Arial" w:cs="Arial"/>
            <w:caps/>
            <w:color w:val="1D86BB"/>
            <w:sz w:val="21"/>
            <w:szCs w:val="21"/>
            <w:u w:val="single"/>
            <w:bdr w:val="none" w:sz="0" w:space="0" w:color="auto" w:frame="1"/>
            <w:lang w:eastAsia="tr-TR"/>
          </w:rPr>
          <w:t>3</w:t>
        </w:r>
      </w:hyperlink>
      <w:r w:rsidRPr="0045530E">
        <w:rPr>
          <w:rFonts w:ascii="inherit" w:eastAsia="Times New Roman" w:hAnsi="inherit" w:cs="Arial"/>
          <w:color w:val="222222"/>
          <w:sz w:val="21"/>
          <w:szCs w:val="21"/>
          <w:lang w:eastAsia="tr-TR"/>
        </w:rPr>
        <w:t>)</w:t>
      </w:r>
    </w:p>
    <w:p w:rsidR="0045530E" w:rsidRPr="0045530E" w:rsidRDefault="0045530E" w:rsidP="0045530E">
      <w:pPr>
        <w:shd w:val="clear" w:color="auto" w:fill="FFFFFF"/>
        <w:spacing w:after="0" w:line="240" w:lineRule="auto"/>
        <w:ind w:left="450"/>
        <w:jc w:val="center"/>
        <w:textAlignment w:val="baseline"/>
        <w:outlineLvl w:val="0"/>
        <w:rPr>
          <w:rFonts w:ascii="Arial" w:eastAsia="Times New Roman" w:hAnsi="Arial" w:cs="Arial"/>
          <w:caps/>
          <w:color w:val="000000"/>
          <w:kern w:val="36"/>
          <w:sz w:val="24"/>
          <w:szCs w:val="24"/>
          <w:lang w:eastAsia="tr-TR"/>
        </w:rPr>
      </w:pPr>
      <w:r w:rsidRPr="0045530E">
        <w:rPr>
          <w:rFonts w:ascii="inherit" w:eastAsia="Times New Roman" w:hAnsi="inherit" w:cs="Arial"/>
          <w:caps/>
          <w:color w:val="000000"/>
          <w:kern w:val="36"/>
          <w:sz w:val="24"/>
          <w:szCs w:val="24"/>
          <w:bdr w:val="none" w:sz="0" w:space="0" w:color="auto" w:frame="1"/>
          <w:shd w:val="clear" w:color="auto" w:fill="FFFFFF"/>
          <w:lang w:eastAsia="tr-TR"/>
        </w:rPr>
        <w:t>CONTRAINDICATIONS</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color w:val="222222"/>
          <w:sz w:val="21"/>
          <w:szCs w:val="21"/>
          <w:bdr w:val="none" w:sz="0" w:space="0" w:color="auto" w:frame="1"/>
          <w:lang w:eastAsia="tr-TR"/>
        </w:rPr>
        <w:t>•</w:t>
      </w:r>
      <w:r w:rsidRPr="0045530E">
        <w:rPr>
          <w:rFonts w:ascii="inherit" w:eastAsia="Times New Roman" w:hAnsi="inherit" w:cs="Arial"/>
          <w:color w:val="222222"/>
          <w:sz w:val="21"/>
          <w:szCs w:val="21"/>
          <w:lang w:eastAsia="tr-TR"/>
        </w:rPr>
        <w:t> Known hypersensitivity to celecoxib or sulfonamides (4)</w:t>
      </w:r>
      <w:r w:rsidRPr="0045530E">
        <w:rPr>
          <w:rFonts w:ascii="inherit" w:eastAsia="Times New Roman" w:hAnsi="inherit" w:cs="Arial"/>
          <w:color w:val="222222"/>
          <w:sz w:val="21"/>
          <w:szCs w:val="21"/>
          <w:lang w:eastAsia="tr-TR"/>
        </w:rPr>
        <w:br/>
      </w:r>
      <w:r w:rsidRPr="0045530E">
        <w:rPr>
          <w:rFonts w:ascii="inherit" w:eastAsia="Times New Roman" w:hAnsi="inherit" w:cs="Arial"/>
          <w:b/>
          <w:bCs/>
          <w:color w:val="222222"/>
          <w:sz w:val="21"/>
          <w:szCs w:val="21"/>
          <w:bdr w:val="none" w:sz="0" w:space="0" w:color="auto" w:frame="1"/>
          <w:lang w:eastAsia="tr-TR"/>
        </w:rPr>
        <w:t>•</w:t>
      </w:r>
      <w:r w:rsidRPr="0045530E">
        <w:rPr>
          <w:rFonts w:ascii="inherit" w:eastAsia="Times New Roman" w:hAnsi="inherit" w:cs="Arial"/>
          <w:color w:val="222222"/>
          <w:sz w:val="21"/>
          <w:szCs w:val="21"/>
          <w:lang w:eastAsia="tr-TR"/>
        </w:rPr>
        <w:t xml:space="preserve"> History of asthma, urticaria, or other allergic-type reactions after taking aspirin or other NSAIDs (4, </w:t>
      </w:r>
      <w:proofErr w:type="gramStart"/>
      <w:r w:rsidRPr="0045530E">
        <w:rPr>
          <w:rFonts w:ascii="inherit" w:eastAsia="Times New Roman" w:hAnsi="inherit" w:cs="Arial"/>
          <w:color w:val="222222"/>
          <w:sz w:val="21"/>
          <w:szCs w:val="21"/>
          <w:lang w:eastAsia="tr-TR"/>
        </w:rPr>
        <w:t>5.7</w:t>
      </w:r>
      <w:proofErr w:type="gramEnd"/>
      <w:r w:rsidRPr="0045530E">
        <w:rPr>
          <w:rFonts w:ascii="inherit" w:eastAsia="Times New Roman" w:hAnsi="inherit" w:cs="Arial"/>
          <w:color w:val="222222"/>
          <w:sz w:val="21"/>
          <w:szCs w:val="21"/>
          <w:lang w:eastAsia="tr-TR"/>
        </w:rPr>
        <w:t>, 5.8, 5.13)</w:t>
      </w:r>
      <w:r w:rsidRPr="0045530E">
        <w:rPr>
          <w:rFonts w:ascii="inherit" w:eastAsia="Times New Roman" w:hAnsi="inherit" w:cs="Arial"/>
          <w:color w:val="222222"/>
          <w:sz w:val="21"/>
          <w:szCs w:val="21"/>
          <w:lang w:eastAsia="tr-TR"/>
        </w:rPr>
        <w:br/>
      </w:r>
      <w:r w:rsidRPr="0045530E">
        <w:rPr>
          <w:rFonts w:ascii="inherit" w:eastAsia="Times New Roman" w:hAnsi="inherit" w:cs="Arial"/>
          <w:b/>
          <w:bCs/>
          <w:color w:val="222222"/>
          <w:sz w:val="21"/>
          <w:szCs w:val="21"/>
          <w:bdr w:val="none" w:sz="0" w:space="0" w:color="auto" w:frame="1"/>
          <w:lang w:eastAsia="tr-TR"/>
        </w:rPr>
        <w:t>•</w:t>
      </w:r>
      <w:r w:rsidRPr="0045530E">
        <w:rPr>
          <w:rFonts w:ascii="inherit" w:eastAsia="Times New Roman" w:hAnsi="inherit" w:cs="Arial"/>
          <w:color w:val="222222"/>
          <w:sz w:val="21"/>
          <w:szCs w:val="21"/>
          <w:lang w:eastAsia="tr-TR"/>
        </w:rPr>
        <w:t> Use during the perioperative period in the setting of coronary artery bypass graft (CABG) surgery (4, 5.1) (</w:t>
      </w:r>
      <w:hyperlink r:id="rId43" w:anchor="section-4" w:history="1">
        <w:r w:rsidRPr="0045530E">
          <w:rPr>
            <w:rFonts w:ascii="Arial" w:eastAsia="Times New Roman" w:hAnsi="Arial" w:cs="Arial"/>
            <w:caps/>
            <w:color w:val="1D86BB"/>
            <w:sz w:val="21"/>
            <w:szCs w:val="21"/>
            <w:u w:val="single"/>
            <w:bdr w:val="none" w:sz="0" w:space="0" w:color="auto" w:frame="1"/>
            <w:lang w:eastAsia="tr-TR"/>
          </w:rPr>
          <w:t>4</w:t>
        </w:r>
      </w:hyperlink>
      <w:r w:rsidRPr="0045530E">
        <w:rPr>
          <w:rFonts w:ascii="inherit" w:eastAsia="Times New Roman" w:hAnsi="inherit" w:cs="Arial"/>
          <w:color w:val="222222"/>
          <w:sz w:val="21"/>
          <w:szCs w:val="21"/>
          <w:lang w:eastAsia="tr-TR"/>
        </w:rPr>
        <w:t>)</w:t>
      </w:r>
    </w:p>
    <w:p w:rsidR="0045530E" w:rsidRPr="0045530E" w:rsidRDefault="0045530E" w:rsidP="0045530E">
      <w:pPr>
        <w:shd w:val="clear" w:color="auto" w:fill="FFFFFF"/>
        <w:spacing w:after="0" w:line="240" w:lineRule="auto"/>
        <w:ind w:left="450"/>
        <w:jc w:val="center"/>
        <w:textAlignment w:val="baseline"/>
        <w:outlineLvl w:val="0"/>
        <w:rPr>
          <w:rFonts w:ascii="Arial" w:eastAsia="Times New Roman" w:hAnsi="Arial" w:cs="Arial"/>
          <w:caps/>
          <w:color w:val="000000"/>
          <w:kern w:val="36"/>
          <w:sz w:val="24"/>
          <w:szCs w:val="24"/>
          <w:lang w:eastAsia="tr-TR"/>
        </w:rPr>
      </w:pPr>
      <w:r w:rsidRPr="0045530E">
        <w:rPr>
          <w:rFonts w:ascii="inherit" w:eastAsia="Times New Roman" w:hAnsi="inherit" w:cs="Arial"/>
          <w:caps/>
          <w:color w:val="000000"/>
          <w:kern w:val="36"/>
          <w:sz w:val="24"/>
          <w:szCs w:val="24"/>
          <w:bdr w:val="none" w:sz="0" w:space="0" w:color="auto" w:frame="1"/>
          <w:shd w:val="clear" w:color="auto" w:fill="FFFFFF"/>
          <w:lang w:eastAsia="tr-TR"/>
        </w:rPr>
        <w:t>WARNINGS AND PRECAUTIONS</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color w:val="222222"/>
          <w:sz w:val="21"/>
          <w:szCs w:val="21"/>
          <w:bdr w:val="none" w:sz="0" w:space="0" w:color="auto" w:frame="1"/>
          <w:lang w:eastAsia="tr-TR"/>
        </w:rPr>
        <w:t>•</w:t>
      </w:r>
      <w:r w:rsidRPr="0045530E">
        <w:rPr>
          <w:rFonts w:ascii="inherit" w:eastAsia="Times New Roman" w:hAnsi="inherit" w:cs="Arial"/>
          <w:color w:val="222222"/>
          <w:sz w:val="21"/>
          <w:szCs w:val="21"/>
          <w:lang w:eastAsia="tr-TR"/>
        </w:rPr>
        <w:t> Serious and potentially fatal cardiovascular (CV) thrombotic events, myocardial infarction, and stroke. Patients with known</w:t>
      </w:r>
      <w:r w:rsidRPr="0045530E">
        <w:rPr>
          <w:rFonts w:ascii="inherit" w:eastAsia="Times New Roman" w:hAnsi="inherit" w:cs="Arial"/>
          <w:color w:val="222222"/>
          <w:sz w:val="21"/>
          <w:szCs w:val="21"/>
          <w:lang w:eastAsia="tr-TR"/>
        </w:rPr>
        <w:br/>
        <w:t>CV disease/risk factors may be at greater risk (</w:t>
      </w:r>
      <w:proofErr w:type="gramStart"/>
      <w:r w:rsidRPr="0045530E">
        <w:rPr>
          <w:rFonts w:ascii="inherit" w:eastAsia="Times New Roman" w:hAnsi="inherit" w:cs="Arial"/>
          <w:color w:val="222222"/>
          <w:sz w:val="21"/>
          <w:szCs w:val="21"/>
          <w:lang w:eastAsia="tr-TR"/>
        </w:rPr>
        <w:t>5.1</w:t>
      </w:r>
      <w:proofErr w:type="gramEnd"/>
      <w:r w:rsidRPr="0045530E">
        <w:rPr>
          <w:rFonts w:ascii="inherit" w:eastAsia="Times New Roman" w:hAnsi="inherit" w:cs="Arial"/>
          <w:color w:val="222222"/>
          <w:sz w:val="21"/>
          <w:szCs w:val="21"/>
          <w:lang w:eastAsia="tr-TR"/>
        </w:rPr>
        <w:t>, 14.6, 17.2).</w:t>
      </w:r>
      <w:r w:rsidRPr="0045530E">
        <w:rPr>
          <w:rFonts w:ascii="inherit" w:eastAsia="Times New Roman" w:hAnsi="inherit" w:cs="Arial"/>
          <w:color w:val="222222"/>
          <w:sz w:val="21"/>
          <w:szCs w:val="21"/>
          <w:lang w:eastAsia="tr-TR"/>
        </w:rPr>
        <w:br/>
      </w:r>
      <w:r w:rsidRPr="0045530E">
        <w:rPr>
          <w:rFonts w:ascii="inherit" w:eastAsia="Times New Roman" w:hAnsi="inherit" w:cs="Arial"/>
          <w:b/>
          <w:bCs/>
          <w:color w:val="222222"/>
          <w:sz w:val="21"/>
          <w:szCs w:val="21"/>
          <w:bdr w:val="none" w:sz="0" w:space="0" w:color="auto" w:frame="1"/>
          <w:lang w:eastAsia="tr-TR"/>
        </w:rPr>
        <w:t>•</w:t>
      </w:r>
      <w:r w:rsidRPr="0045530E">
        <w:rPr>
          <w:rFonts w:ascii="inherit" w:eastAsia="Times New Roman" w:hAnsi="inherit" w:cs="Arial"/>
          <w:color w:val="222222"/>
          <w:sz w:val="21"/>
          <w:szCs w:val="21"/>
          <w:lang w:eastAsia="tr-TR"/>
        </w:rPr>
        <w:t> Serious gastrointestinal (GI) adverse events, which can be fatal. The risk is greater in patients with a prior history of ulcer disease</w:t>
      </w:r>
      <w:r w:rsidRPr="0045530E">
        <w:rPr>
          <w:rFonts w:ascii="inherit" w:eastAsia="Times New Roman" w:hAnsi="inherit" w:cs="Arial"/>
          <w:color w:val="222222"/>
          <w:sz w:val="21"/>
          <w:szCs w:val="21"/>
          <w:lang w:eastAsia="tr-TR"/>
        </w:rPr>
        <w:br/>
        <w:t>or GI bleeding, and in patients at high risk for GI events, especially the elderly. Celecoxib should be used with caution in these</w:t>
      </w:r>
      <w:r w:rsidRPr="0045530E">
        <w:rPr>
          <w:rFonts w:ascii="inherit" w:eastAsia="Times New Roman" w:hAnsi="inherit" w:cs="Arial"/>
          <w:color w:val="222222"/>
          <w:sz w:val="21"/>
          <w:szCs w:val="21"/>
          <w:lang w:eastAsia="tr-TR"/>
        </w:rPr>
        <w:br/>
        <w:t>patients (</w:t>
      </w:r>
      <w:proofErr w:type="gramStart"/>
      <w:r w:rsidRPr="0045530E">
        <w:rPr>
          <w:rFonts w:ascii="inherit" w:eastAsia="Times New Roman" w:hAnsi="inherit" w:cs="Arial"/>
          <w:color w:val="222222"/>
          <w:sz w:val="21"/>
          <w:szCs w:val="21"/>
          <w:lang w:eastAsia="tr-TR"/>
        </w:rPr>
        <w:t>5.4</w:t>
      </w:r>
      <w:proofErr w:type="gramEnd"/>
      <w:r w:rsidRPr="0045530E">
        <w:rPr>
          <w:rFonts w:ascii="inherit" w:eastAsia="Times New Roman" w:hAnsi="inherit" w:cs="Arial"/>
          <w:color w:val="222222"/>
          <w:sz w:val="21"/>
          <w:szCs w:val="21"/>
          <w:lang w:eastAsia="tr-TR"/>
        </w:rPr>
        <w:t>, 8.5, 14.6, 17.3).</w:t>
      </w:r>
      <w:r w:rsidRPr="0045530E">
        <w:rPr>
          <w:rFonts w:ascii="inherit" w:eastAsia="Times New Roman" w:hAnsi="inherit" w:cs="Arial"/>
          <w:color w:val="222222"/>
          <w:sz w:val="21"/>
          <w:szCs w:val="21"/>
          <w:lang w:eastAsia="tr-TR"/>
        </w:rPr>
        <w:br/>
      </w:r>
      <w:r w:rsidRPr="0045530E">
        <w:rPr>
          <w:rFonts w:ascii="inherit" w:eastAsia="Times New Roman" w:hAnsi="inherit" w:cs="Arial"/>
          <w:b/>
          <w:bCs/>
          <w:color w:val="222222"/>
          <w:sz w:val="21"/>
          <w:szCs w:val="21"/>
          <w:bdr w:val="none" w:sz="0" w:space="0" w:color="auto" w:frame="1"/>
          <w:lang w:eastAsia="tr-TR"/>
        </w:rPr>
        <w:t>•</w:t>
      </w:r>
      <w:r w:rsidRPr="0045530E">
        <w:rPr>
          <w:rFonts w:ascii="inherit" w:eastAsia="Times New Roman" w:hAnsi="inherit" w:cs="Arial"/>
          <w:color w:val="222222"/>
          <w:sz w:val="21"/>
          <w:szCs w:val="21"/>
          <w:lang w:eastAsia="tr-TR"/>
        </w:rPr>
        <w:t> Elevated liver enzymes and, rarely, severe hepatic reactions. Discontinue use of celecoxibimmediately if abnormal liver enzymes</w:t>
      </w:r>
      <w:r w:rsidRPr="0045530E">
        <w:rPr>
          <w:rFonts w:ascii="inherit" w:eastAsia="Times New Roman" w:hAnsi="inherit" w:cs="Arial"/>
          <w:color w:val="222222"/>
          <w:sz w:val="21"/>
          <w:szCs w:val="21"/>
          <w:lang w:eastAsia="tr-TR"/>
        </w:rPr>
        <w:br/>
        <w:t>persist or worsen (</w:t>
      </w:r>
      <w:proofErr w:type="gramStart"/>
      <w:r w:rsidRPr="0045530E">
        <w:rPr>
          <w:rFonts w:ascii="inherit" w:eastAsia="Times New Roman" w:hAnsi="inherit" w:cs="Arial"/>
          <w:color w:val="222222"/>
          <w:sz w:val="21"/>
          <w:szCs w:val="21"/>
          <w:lang w:eastAsia="tr-TR"/>
        </w:rPr>
        <w:t>5.5</w:t>
      </w:r>
      <w:proofErr w:type="gramEnd"/>
      <w:r w:rsidRPr="0045530E">
        <w:rPr>
          <w:rFonts w:ascii="inherit" w:eastAsia="Times New Roman" w:hAnsi="inherit" w:cs="Arial"/>
          <w:color w:val="222222"/>
          <w:sz w:val="21"/>
          <w:szCs w:val="21"/>
          <w:lang w:eastAsia="tr-TR"/>
        </w:rPr>
        <w:t>, 17.4).</w:t>
      </w:r>
      <w:r w:rsidRPr="0045530E">
        <w:rPr>
          <w:rFonts w:ascii="inherit" w:eastAsia="Times New Roman" w:hAnsi="inherit" w:cs="Arial"/>
          <w:color w:val="222222"/>
          <w:sz w:val="21"/>
          <w:szCs w:val="21"/>
          <w:lang w:eastAsia="tr-TR"/>
        </w:rPr>
        <w:br/>
      </w:r>
      <w:r w:rsidRPr="0045530E">
        <w:rPr>
          <w:rFonts w:ascii="inherit" w:eastAsia="Times New Roman" w:hAnsi="inherit" w:cs="Arial"/>
          <w:b/>
          <w:bCs/>
          <w:color w:val="222222"/>
          <w:sz w:val="21"/>
          <w:szCs w:val="21"/>
          <w:bdr w:val="none" w:sz="0" w:space="0" w:color="auto" w:frame="1"/>
          <w:lang w:eastAsia="tr-TR"/>
        </w:rPr>
        <w:t>•</w:t>
      </w:r>
      <w:r w:rsidRPr="0045530E">
        <w:rPr>
          <w:rFonts w:ascii="inherit" w:eastAsia="Times New Roman" w:hAnsi="inherit" w:cs="Arial"/>
          <w:color w:val="222222"/>
          <w:sz w:val="21"/>
          <w:szCs w:val="21"/>
          <w:lang w:eastAsia="tr-TR"/>
        </w:rPr>
        <w:t> New onset or worsening of hypertension. Blood pressure should be monitored closely duringtreatment with celecoxib (</w:t>
      </w:r>
      <w:proofErr w:type="gramStart"/>
      <w:r w:rsidRPr="0045530E">
        <w:rPr>
          <w:rFonts w:ascii="inherit" w:eastAsia="Times New Roman" w:hAnsi="inherit" w:cs="Arial"/>
          <w:color w:val="222222"/>
          <w:sz w:val="21"/>
          <w:szCs w:val="21"/>
          <w:lang w:eastAsia="tr-TR"/>
        </w:rPr>
        <w:t>5.2</w:t>
      </w:r>
      <w:proofErr w:type="gramEnd"/>
      <w:r w:rsidRPr="0045530E">
        <w:rPr>
          <w:rFonts w:ascii="inherit" w:eastAsia="Times New Roman" w:hAnsi="inherit" w:cs="Arial"/>
          <w:color w:val="222222"/>
          <w:sz w:val="21"/>
          <w:szCs w:val="21"/>
          <w:lang w:eastAsia="tr-TR"/>
        </w:rPr>
        <w:t>, 7.4, 17.2).</w:t>
      </w:r>
      <w:r w:rsidRPr="0045530E">
        <w:rPr>
          <w:rFonts w:ascii="inherit" w:eastAsia="Times New Roman" w:hAnsi="inherit" w:cs="Arial"/>
          <w:color w:val="222222"/>
          <w:sz w:val="21"/>
          <w:szCs w:val="21"/>
          <w:lang w:eastAsia="tr-TR"/>
        </w:rPr>
        <w:br/>
      </w:r>
      <w:r w:rsidRPr="0045530E">
        <w:rPr>
          <w:rFonts w:ascii="inherit" w:eastAsia="Times New Roman" w:hAnsi="inherit" w:cs="Arial"/>
          <w:b/>
          <w:bCs/>
          <w:color w:val="222222"/>
          <w:sz w:val="21"/>
          <w:szCs w:val="21"/>
          <w:bdr w:val="none" w:sz="0" w:space="0" w:color="auto" w:frame="1"/>
          <w:lang w:eastAsia="tr-TR"/>
        </w:rPr>
        <w:t>•</w:t>
      </w:r>
      <w:r w:rsidRPr="0045530E">
        <w:rPr>
          <w:rFonts w:ascii="inherit" w:eastAsia="Times New Roman" w:hAnsi="inherit" w:cs="Arial"/>
          <w:color w:val="222222"/>
          <w:sz w:val="21"/>
          <w:szCs w:val="21"/>
          <w:lang w:eastAsia="tr-TR"/>
        </w:rPr>
        <w:t> Fluid retention and edema. Celecoxib should be used with caution in patients with fluid retentionor heart failure (</w:t>
      </w:r>
      <w:proofErr w:type="gramStart"/>
      <w:r w:rsidRPr="0045530E">
        <w:rPr>
          <w:rFonts w:ascii="inherit" w:eastAsia="Times New Roman" w:hAnsi="inherit" w:cs="Arial"/>
          <w:color w:val="222222"/>
          <w:sz w:val="21"/>
          <w:szCs w:val="21"/>
          <w:lang w:eastAsia="tr-TR"/>
        </w:rPr>
        <w:t>5.3</w:t>
      </w:r>
      <w:proofErr w:type="gramEnd"/>
      <w:r w:rsidRPr="0045530E">
        <w:rPr>
          <w:rFonts w:ascii="inherit" w:eastAsia="Times New Roman" w:hAnsi="inherit" w:cs="Arial"/>
          <w:color w:val="222222"/>
          <w:sz w:val="21"/>
          <w:szCs w:val="21"/>
          <w:lang w:eastAsia="tr-TR"/>
        </w:rPr>
        <w:t>, 17.6).</w:t>
      </w:r>
      <w:r w:rsidRPr="0045530E">
        <w:rPr>
          <w:rFonts w:ascii="inherit" w:eastAsia="Times New Roman" w:hAnsi="inherit" w:cs="Arial"/>
          <w:color w:val="222222"/>
          <w:sz w:val="21"/>
          <w:szCs w:val="21"/>
          <w:lang w:eastAsia="tr-TR"/>
        </w:rPr>
        <w:br/>
      </w:r>
      <w:r w:rsidRPr="0045530E">
        <w:rPr>
          <w:rFonts w:ascii="inherit" w:eastAsia="Times New Roman" w:hAnsi="inherit" w:cs="Arial"/>
          <w:b/>
          <w:bCs/>
          <w:color w:val="222222"/>
          <w:sz w:val="21"/>
          <w:szCs w:val="21"/>
          <w:bdr w:val="none" w:sz="0" w:space="0" w:color="auto" w:frame="1"/>
          <w:lang w:eastAsia="tr-TR"/>
        </w:rPr>
        <w:t>•</w:t>
      </w:r>
      <w:r w:rsidRPr="0045530E">
        <w:rPr>
          <w:rFonts w:ascii="inherit" w:eastAsia="Times New Roman" w:hAnsi="inherit" w:cs="Arial"/>
          <w:color w:val="222222"/>
          <w:sz w:val="21"/>
          <w:szCs w:val="21"/>
          <w:lang w:eastAsia="tr-TR"/>
        </w:rPr>
        <w:t> Renal papillary necrosis and other renal injury with long term use. Use celecoxib with caution inthe elderly, those with impaired</w:t>
      </w:r>
      <w:r w:rsidRPr="0045530E">
        <w:rPr>
          <w:rFonts w:ascii="inherit" w:eastAsia="Times New Roman" w:hAnsi="inherit" w:cs="Arial"/>
          <w:color w:val="222222"/>
          <w:sz w:val="21"/>
          <w:szCs w:val="21"/>
          <w:lang w:eastAsia="tr-TR"/>
        </w:rPr>
        <w:br/>
        <w:t>renal function, heart failure, liver dysfunction, and those taking diuretics, ACE-inhibitors, or angiotensin II antagonists</w:t>
      </w:r>
      <w:r w:rsidRPr="0045530E">
        <w:rPr>
          <w:rFonts w:ascii="inherit" w:eastAsia="Times New Roman" w:hAnsi="inherit" w:cs="Arial"/>
          <w:color w:val="222222"/>
          <w:sz w:val="21"/>
          <w:szCs w:val="21"/>
          <w:lang w:eastAsia="tr-TR"/>
        </w:rPr>
        <w:br/>
        <w:t>(</w:t>
      </w:r>
      <w:proofErr w:type="gramStart"/>
      <w:r w:rsidRPr="0045530E">
        <w:rPr>
          <w:rFonts w:ascii="inherit" w:eastAsia="Times New Roman" w:hAnsi="inherit" w:cs="Arial"/>
          <w:color w:val="222222"/>
          <w:sz w:val="21"/>
          <w:szCs w:val="21"/>
          <w:lang w:eastAsia="tr-TR"/>
        </w:rPr>
        <w:t>5.6</w:t>
      </w:r>
      <w:proofErr w:type="gramEnd"/>
      <w:r w:rsidRPr="0045530E">
        <w:rPr>
          <w:rFonts w:ascii="inherit" w:eastAsia="Times New Roman" w:hAnsi="inherit" w:cs="Arial"/>
          <w:color w:val="222222"/>
          <w:sz w:val="21"/>
          <w:szCs w:val="21"/>
          <w:lang w:eastAsia="tr-TR"/>
        </w:rPr>
        <w:t>, 7.4, 8.7, 17.6).</w:t>
      </w:r>
      <w:r w:rsidRPr="0045530E">
        <w:rPr>
          <w:rFonts w:ascii="inherit" w:eastAsia="Times New Roman" w:hAnsi="inherit" w:cs="Arial"/>
          <w:color w:val="222222"/>
          <w:sz w:val="21"/>
          <w:szCs w:val="21"/>
          <w:lang w:eastAsia="tr-TR"/>
        </w:rPr>
        <w:br/>
      </w:r>
      <w:r w:rsidRPr="0045530E">
        <w:rPr>
          <w:rFonts w:ascii="inherit" w:eastAsia="Times New Roman" w:hAnsi="inherit" w:cs="Arial"/>
          <w:b/>
          <w:bCs/>
          <w:color w:val="222222"/>
          <w:sz w:val="21"/>
          <w:szCs w:val="21"/>
          <w:bdr w:val="none" w:sz="0" w:space="0" w:color="auto" w:frame="1"/>
          <w:lang w:eastAsia="tr-TR"/>
        </w:rPr>
        <w:t>•</w:t>
      </w:r>
      <w:r w:rsidRPr="0045530E">
        <w:rPr>
          <w:rFonts w:ascii="inherit" w:eastAsia="Times New Roman" w:hAnsi="inherit" w:cs="Arial"/>
          <w:color w:val="222222"/>
          <w:sz w:val="21"/>
          <w:szCs w:val="21"/>
          <w:lang w:eastAsia="tr-TR"/>
        </w:rPr>
        <w:t> Anaphylactoid reactions. Do not use celecoxib in patients with the aspirin triad (</w:t>
      </w:r>
      <w:proofErr w:type="gramStart"/>
      <w:r w:rsidRPr="0045530E">
        <w:rPr>
          <w:rFonts w:ascii="inherit" w:eastAsia="Times New Roman" w:hAnsi="inherit" w:cs="Arial"/>
          <w:color w:val="222222"/>
          <w:sz w:val="21"/>
          <w:szCs w:val="21"/>
          <w:lang w:eastAsia="tr-TR"/>
        </w:rPr>
        <w:t>5.7</w:t>
      </w:r>
      <w:proofErr w:type="gramEnd"/>
      <w:r w:rsidRPr="0045530E">
        <w:rPr>
          <w:rFonts w:ascii="inherit" w:eastAsia="Times New Roman" w:hAnsi="inherit" w:cs="Arial"/>
          <w:color w:val="222222"/>
          <w:sz w:val="21"/>
          <w:szCs w:val="21"/>
          <w:lang w:eastAsia="tr-TR"/>
        </w:rPr>
        <w:t>, 10, 17.7).</w:t>
      </w:r>
      <w:r w:rsidRPr="0045530E">
        <w:rPr>
          <w:rFonts w:ascii="inherit" w:eastAsia="Times New Roman" w:hAnsi="inherit" w:cs="Arial"/>
          <w:color w:val="222222"/>
          <w:sz w:val="21"/>
          <w:szCs w:val="21"/>
          <w:lang w:eastAsia="tr-TR"/>
        </w:rPr>
        <w:br/>
      </w:r>
      <w:r w:rsidRPr="0045530E">
        <w:rPr>
          <w:rFonts w:ascii="inherit" w:eastAsia="Times New Roman" w:hAnsi="inherit" w:cs="Arial"/>
          <w:b/>
          <w:bCs/>
          <w:color w:val="222222"/>
          <w:sz w:val="21"/>
          <w:szCs w:val="21"/>
          <w:bdr w:val="none" w:sz="0" w:space="0" w:color="auto" w:frame="1"/>
          <w:lang w:eastAsia="tr-TR"/>
        </w:rPr>
        <w:t>•</w:t>
      </w:r>
      <w:r w:rsidRPr="0045530E">
        <w:rPr>
          <w:rFonts w:ascii="inherit" w:eastAsia="Times New Roman" w:hAnsi="inherit" w:cs="Arial"/>
          <w:color w:val="222222"/>
          <w:sz w:val="21"/>
          <w:szCs w:val="21"/>
          <w:lang w:eastAsia="tr-TR"/>
        </w:rPr>
        <w:t> Serious skin adverse events such as exfoliative dermatitis, Stevens-Johnson syndrome (SJS),and toxic epidermal necrolysis (TEN),</w:t>
      </w:r>
      <w:r w:rsidRPr="0045530E">
        <w:rPr>
          <w:rFonts w:ascii="inherit" w:eastAsia="Times New Roman" w:hAnsi="inherit" w:cs="Arial"/>
          <w:color w:val="222222"/>
          <w:sz w:val="21"/>
          <w:szCs w:val="21"/>
          <w:lang w:eastAsia="tr-TR"/>
        </w:rPr>
        <w:br/>
        <w:t>which can be fatal and can occur without warning evenwithout known prior sulfa allergy. Discontinue celecoxib at first appearance of</w:t>
      </w:r>
      <w:r w:rsidRPr="0045530E">
        <w:rPr>
          <w:rFonts w:ascii="inherit" w:eastAsia="Times New Roman" w:hAnsi="inherit" w:cs="Arial"/>
          <w:color w:val="222222"/>
          <w:sz w:val="21"/>
          <w:szCs w:val="21"/>
          <w:lang w:eastAsia="tr-TR"/>
        </w:rPr>
        <w:br/>
        <w:t>rash or skin reactions (</w:t>
      </w:r>
      <w:proofErr w:type="gramStart"/>
      <w:r w:rsidRPr="0045530E">
        <w:rPr>
          <w:rFonts w:ascii="inherit" w:eastAsia="Times New Roman" w:hAnsi="inherit" w:cs="Arial"/>
          <w:color w:val="222222"/>
          <w:sz w:val="21"/>
          <w:szCs w:val="21"/>
          <w:lang w:eastAsia="tr-TR"/>
        </w:rPr>
        <w:t>5.8</w:t>
      </w:r>
      <w:proofErr w:type="gramEnd"/>
      <w:r w:rsidRPr="0045530E">
        <w:rPr>
          <w:rFonts w:ascii="inherit" w:eastAsia="Times New Roman" w:hAnsi="inherit" w:cs="Arial"/>
          <w:color w:val="222222"/>
          <w:sz w:val="21"/>
          <w:szCs w:val="21"/>
          <w:lang w:eastAsia="tr-TR"/>
        </w:rPr>
        <w:t>, 17.5). (</w:t>
      </w:r>
      <w:hyperlink r:id="rId44" w:anchor="section-5" w:history="1">
        <w:r w:rsidRPr="0045530E">
          <w:rPr>
            <w:rFonts w:ascii="Arial" w:eastAsia="Times New Roman" w:hAnsi="Arial" w:cs="Arial"/>
            <w:caps/>
            <w:color w:val="1D86BB"/>
            <w:sz w:val="21"/>
            <w:szCs w:val="21"/>
            <w:u w:val="single"/>
            <w:bdr w:val="none" w:sz="0" w:space="0" w:color="auto" w:frame="1"/>
            <w:lang w:eastAsia="tr-TR"/>
          </w:rPr>
          <w:t>5</w:t>
        </w:r>
      </w:hyperlink>
      <w:r w:rsidRPr="0045530E">
        <w:rPr>
          <w:rFonts w:ascii="inherit" w:eastAsia="Times New Roman" w:hAnsi="inherit" w:cs="Arial"/>
          <w:color w:val="222222"/>
          <w:sz w:val="21"/>
          <w:szCs w:val="21"/>
          <w:lang w:eastAsia="tr-TR"/>
        </w:rPr>
        <w:t>)</w:t>
      </w:r>
    </w:p>
    <w:p w:rsidR="0045530E" w:rsidRPr="0045530E" w:rsidRDefault="0045530E" w:rsidP="0045530E">
      <w:pPr>
        <w:shd w:val="clear" w:color="auto" w:fill="FFFFFF"/>
        <w:spacing w:after="0" w:line="240" w:lineRule="auto"/>
        <w:ind w:left="450"/>
        <w:jc w:val="center"/>
        <w:textAlignment w:val="baseline"/>
        <w:outlineLvl w:val="0"/>
        <w:rPr>
          <w:rFonts w:ascii="Arial" w:eastAsia="Times New Roman" w:hAnsi="Arial" w:cs="Arial"/>
          <w:caps/>
          <w:color w:val="000000"/>
          <w:kern w:val="36"/>
          <w:sz w:val="24"/>
          <w:szCs w:val="24"/>
          <w:lang w:eastAsia="tr-TR"/>
        </w:rPr>
      </w:pPr>
      <w:r w:rsidRPr="0045530E">
        <w:rPr>
          <w:rFonts w:ascii="inherit" w:eastAsia="Times New Roman" w:hAnsi="inherit" w:cs="Arial"/>
          <w:caps/>
          <w:color w:val="000000"/>
          <w:kern w:val="36"/>
          <w:sz w:val="24"/>
          <w:szCs w:val="24"/>
          <w:bdr w:val="none" w:sz="0" w:space="0" w:color="auto" w:frame="1"/>
          <w:shd w:val="clear" w:color="auto" w:fill="FFFFFF"/>
          <w:lang w:eastAsia="tr-TR"/>
        </w:rPr>
        <w:t>ADVERSE REACTIONS</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Most common adverse reactions in arthritis trials (</w:t>
      </w:r>
      <w:r w:rsidRPr="0045530E">
        <w:rPr>
          <w:rFonts w:ascii="inherit" w:eastAsia="Times New Roman" w:hAnsi="inherit" w:cs="Arial"/>
          <w:color w:val="222222"/>
          <w:sz w:val="21"/>
          <w:szCs w:val="21"/>
          <w:u w:val="single"/>
          <w:bdr w:val="none" w:sz="0" w:space="0" w:color="auto" w:frame="1"/>
          <w:lang w:eastAsia="tr-TR"/>
        </w:rPr>
        <w:t>&gt;</w:t>
      </w:r>
      <w:r w:rsidRPr="0045530E">
        <w:rPr>
          <w:rFonts w:ascii="inherit" w:eastAsia="Times New Roman" w:hAnsi="inherit" w:cs="Arial"/>
          <w:color w:val="222222"/>
          <w:sz w:val="21"/>
          <w:szCs w:val="21"/>
          <w:lang w:eastAsia="tr-TR"/>
        </w:rPr>
        <w:t>2% and &gt;placebo): abdominal pain, diarrhea, dyspepsia, flatulence, peripheral edema, accidental injury, dizziness, pharyngitis, rhinitis, sinusitis, upper respiratory tract infection, rash (</w:t>
      </w:r>
      <w:proofErr w:type="gramStart"/>
      <w:r w:rsidRPr="0045530E">
        <w:rPr>
          <w:rFonts w:ascii="inherit" w:eastAsia="Times New Roman" w:hAnsi="inherit" w:cs="Arial"/>
          <w:color w:val="222222"/>
          <w:sz w:val="21"/>
          <w:szCs w:val="21"/>
          <w:lang w:eastAsia="tr-TR"/>
        </w:rPr>
        <w:t>6.1</w:t>
      </w:r>
      <w:proofErr w:type="gramEnd"/>
      <w:r w:rsidRPr="0045530E">
        <w:rPr>
          <w:rFonts w:ascii="inherit" w:eastAsia="Times New Roman" w:hAnsi="inherit" w:cs="Arial"/>
          <w:color w:val="222222"/>
          <w:sz w:val="21"/>
          <w:szCs w:val="21"/>
          <w:lang w:eastAsia="tr-TR"/>
        </w:rPr>
        <w:t>). (</w:t>
      </w:r>
      <w:hyperlink r:id="rId45" w:anchor="section-6" w:history="1">
        <w:r w:rsidRPr="0045530E">
          <w:rPr>
            <w:rFonts w:ascii="Arial" w:eastAsia="Times New Roman" w:hAnsi="Arial" w:cs="Arial"/>
            <w:caps/>
            <w:color w:val="1D86BB"/>
            <w:sz w:val="21"/>
            <w:szCs w:val="21"/>
            <w:u w:val="single"/>
            <w:bdr w:val="none" w:sz="0" w:space="0" w:color="auto" w:frame="1"/>
            <w:lang w:eastAsia="tr-TR"/>
          </w:rPr>
          <w:t>6</w:t>
        </w:r>
      </w:hyperlink>
      <w:r w:rsidRPr="0045530E">
        <w:rPr>
          <w:rFonts w:ascii="inherit" w:eastAsia="Times New Roman" w:hAnsi="inherit" w:cs="Arial"/>
          <w:color w:val="222222"/>
          <w:sz w:val="21"/>
          <w:szCs w:val="21"/>
          <w:lang w:eastAsia="tr-TR"/>
        </w:rPr>
        <w:t>)</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color w:val="222222"/>
          <w:sz w:val="21"/>
          <w:szCs w:val="21"/>
          <w:bdr w:val="none" w:sz="0" w:space="0" w:color="auto" w:frame="1"/>
          <w:lang w:eastAsia="tr-TR"/>
        </w:rPr>
        <w:t>To report SUSPECTED ADVERSE REACTIONS, contact Sydon Labs, LLC at 1 866-487-4695 or FDA at 1-800-FDA-1088 or</w:t>
      </w:r>
      <w:r w:rsidRPr="0045530E">
        <w:rPr>
          <w:rFonts w:ascii="inherit" w:eastAsia="Times New Roman" w:hAnsi="inherit" w:cs="Arial"/>
          <w:color w:val="222222"/>
          <w:sz w:val="21"/>
          <w:szCs w:val="21"/>
          <w:lang w:eastAsia="tr-TR"/>
        </w:rPr>
        <w:t> </w:t>
      </w:r>
      <w:r w:rsidRPr="0045530E">
        <w:rPr>
          <w:rFonts w:ascii="inherit" w:eastAsia="Times New Roman" w:hAnsi="inherit" w:cs="Arial"/>
          <w:color w:val="222222"/>
          <w:sz w:val="21"/>
          <w:szCs w:val="21"/>
          <w:lang w:eastAsia="tr-TR"/>
        </w:rPr>
        <w:br/>
      </w:r>
      <w:r w:rsidRPr="0045530E">
        <w:rPr>
          <w:rFonts w:ascii="inherit" w:eastAsia="Times New Roman" w:hAnsi="inherit" w:cs="Arial"/>
          <w:b/>
          <w:bCs/>
          <w:color w:val="222222"/>
          <w:sz w:val="21"/>
          <w:szCs w:val="21"/>
          <w:bdr w:val="none" w:sz="0" w:space="0" w:color="auto" w:frame="1"/>
          <w:lang w:eastAsia="tr-TR"/>
        </w:rPr>
        <w:t>www.fda.gov/medwatch</w:t>
      </w:r>
      <w:r w:rsidRPr="0045530E">
        <w:rPr>
          <w:rFonts w:ascii="inherit" w:eastAsia="Times New Roman" w:hAnsi="inherit" w:cs="Arial"/>
          <w:color w:val="222222"/>
          <w:sz w:val="21"/>
          <w:szCs w:val="21"/>
          <w:lang w:eastAsia="tr-TR"/>
        </w:rPr>
        <w:t> (</w:t>
      </w:r>
      <w:hyperlink r:id="rId46" w:anchor="section-6" w:history="1">
        <w:r w:rsidRPr="0045530E">
          <w:rPr>
            <w:rFonts w:ascii="Arial" w:eastAsia="Times New Roman" w:hAnsi="Arial" w:cs="Arial"/>
            <w:caps/>
            <w:color w:val="1D86BB"/>
            <w:sz w:val="21"/>
            <w:szCs w:val="21"/>
            <w:u w:val="single"/>
            <w:bdr w:val="none" w:sz="0" w:space="0" w:color="auto" w:frame="1"/>
            <w:lang w:eastAsia="tr-TR"/>
          </w:rPr>
          <w:t>6</w:t>
        </w:r>
      </w:hyperlink>
      <w:r w:rsidRPr="0045530E">
        <w:rPr>
          <w:rFonts w:ascii="inherit" w:eastAsia="Times New Roman" w:hAnsi="inherit" w:cs="Arial"/>
          <w:color w:val="222222"/>
          <w:sz w:val="21"/>
          <w:szCs w:val="21"/>
          <w:lang w:eastAsia="tr-TR"/>
        </w:rPr>
        <w:t>)</w:t>
      </w:r>
    </w:p>
    <w:p w:rsidR="0045530E" w:rsidRPr="0045530E" w:rsidRDefault="0045530E" w:rsidP="0045530E">
      <w:pPr>
        <w:shd w:val="clear" w:color="auto" w:fill="FFFFFF"/>
        <w:spacing w:after="0" w:line="240" w:lineRule="auto"/>
        <w:ind w:left="450"/>
        <w:jc w:val="center"/>
        <w:textAlignment w:val="baseline"/>
        <w:outlineLvl w:val="0"/>
        <w:rPr>
          <w:rFonts w:ascii="Arial" w:eastAsia="Times New Roman" w:hAnsi="Arial" w:cs="Arial"/>
          <w:caps/>
          <w:color w:val="000000"/>
          <w:kern w:val="36"/>
          <w:sz w:val="24"/>
          <w:szCs w:val="24"/>
          <w:lang w:eastAsia="tr-TR"/>
        </w:rPr>
      </w:pPr>
      <w:r w:rsidRPr="0045530E">
        <w:rPr>
          <w:rFonts w:ascii="inherit" w:eastAsia="Times New Roman" w:hAnsi="inherit" w:cs="Arial"/>
          <w:caps/>
          <w:color w:val="000000"/>
          <w:kern w:val="36"/>
          <w:sz w:val="24"/>
          <w:szCs w:val="24"/>
          <w:bdr w:val="none" w:sz="0" w:space="0" w:color="auto" w:frame="1"/>
          <w:shd w:val="clear" w:color="auto" w:fill="FFFFFF"/>
          <w:lang w:eastAsia="tr-TR"/>
        </w:rPr>
        <w:t>DRUG INTERACTIONS</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 Concomitant use of celecoxib and warfarin may result in increased risk of bleeding complications. (7.1)</w:t>
      </w:r>
      <w:r w:rsidRPr="0045530E">
        <w:rPr>
          <w:rFonts w:ascii="inherit" w:eastAsia="Times New Roman" w:hAnsi="inherit" w:cs="Arial"/>
          <w:color w:val="222222"/>
          <w:sz w:val="21"/>
          <w:szCs w:val="21"/>
          <w:lang w:eastAsia="tr-TR"/>
        </w:rPr>
        <w:br/>
        <w:t>• Concomitant use of celecoxib increases lithium plasma levels. (7.2)</w:t>
      </w:r>
      <w:r w:rsidRPr="0045530E">
        <w:rPr>
          <w:rFonts w:ascii="inherit" w:eastAsia="Times New Roman" w:hAnsi="inherit" w:cs="Arial"/>
          <w:color w:val="222222"/>
          <w:sz w:val="21"/>
          <w:szCs w:val="21"/>
          <w:lang w:eastAsia="tr-TR"/>
        </w:rPr>
        <w:br/>
        <w:t>• Concomitant use of celecoxib may reduce the antihypertensive effect of ACE Inhibitors and angiotensin II antagonists (</w:t>
      </w:r>
      <w:proofErr w:type="gramStart"/>
      <w:r w:rsidRPr="0045530E">
        <w:rPr>
          <w:rFonts w:ascii="inherit" w:eastAsia="Times New Roman" w:hAnsi="inherit" w:cs="Arial"/>
          <w:color w:val="222222"/>
          <w:sz w:val="21"/>
          <w:szCs w:val="21"/>
          <w:lang w:eastAsia="tr-TR"/>
        </w:rPr>
        <w:t>7.4</w:t>
      </w:r>
      <w:proofErr w:type="gramEnd"/>
      <w:r w:rsidRPr="0045530E">
        <w:rPr>
          <w:rFonts w:ascii="inherit" w:eastAsia="Times New Roman" w:hAnsi="inherit" w:cs="Arial"/>
          <w:color w:val="222222"/>
          <w:sz w:val="21"/>
          <w:szCs w:val="21"/>
          <w:lang w:eastAsia="tr-TR"/>
        </w:rPr>
        <w:t>)</w:t>
      </w:r>
      <w:r w:rsidRPr="0045530E">
        <w:rPr>
          <w:rFonts w:ascii="inherit" w:eastAsia="Times New Roman" w:hAnsi="inherit" w:cs="Arial"/>
          <w:color w:val="222222"/>
          <w:sz w:val="21"/>
          <w:szCs w:val="21"/>
          <w:lang w:eastAsia="tr-TR"/>
        </w:rPr>
        <w:br/>
        <w:t>• Use caution with drugs known to inhibit P450 2C9 or metabolized by 2D6 due to the potential for increased plasma levels (2.6, 8.4, 8.8, 12.3) (</w:t>
      </w:r>
      <w:hyperlink r:id="rId47" w:anchor="section-7" w:history="1">
        <w:r w:rsidRPr="0045530E">
          <w:rPr>
            <w:rFonts w:ascii="Arial" w:eastAsia="Times New Roman" w:hAnsi="Arial" w:cs="Arial"/>
            <w:caps/>
            <w:color w:val="1D86BB"/>
            <w:sz w:val="21"/>
            <w:szCs w:val="21"/>
            <w:u w:val="single"/>
            <w:bdr w:val="none" w:sz="0" w:space="0" w:color="auto" w:frame="1"/>
            <w:lang w:eastAsia="tr-TR"/>
          </w:rPr>
          <w:t>7</w:t>
        </w:r>
      </w:hyperlink>
      <w:r w:rsidRPr="0045530E">
        <w:rPr>
          <w:rFonts w:ascii="inherit" w:eastAsia="Times New Roman" w:hAnsi="inherit" w:cs="Arial"/>
          <w:color w:val="222222"/>
          <w:sz w:val="21"/>
          <w:szCs w:val="21"/>
          <w:lang w:eastAsia="tr-TR"/>
        </w:rPr>
        <w:t>)</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See 17 for PATIENT COUNSELING INFORMATION and Medication Guide.</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Revised: 12/2015</w:t>
      </w:r>
    </w:p>
    <w:p w:rsidR="0045530E" w:rsidRPr="0045530E" w:rsidRDefault="0045530E" w:rsidP="0045530E">
      <w:pPr>
        <w:shd w:val="clear" w:color="auto" w:fill="FFFFFF"/>
        <w:spacing w:after="75" w:line="240" w:lineRule="auto"/>
        <w:ind w:left="450"/>
        <w:textAlignment w:val="baseline"/>
        <w:rPr>
          <w:rFonts w:ascii="inherit" w:eastAsia="Times New Roman" w:hAnsi="inherit" w:cs="Arial"/>
          <w:color w:val="222222"/>
          <w:sz w:val="21"/>
          <w:szCs w:val="21"/>
          <w:lang w:eastAsia="tr-TR"/>
        </w:rPr>
      </w:pPr>
      <w:hyperlink r:id="rId48" w:history="1">
        <w:r w:rsidRPr="0045530E">
          <w:rPr>
            <w:rFonts w:ascii="Arial" w:eastAsia="Times New Roman" w:hAnsi="Arial" w:cs="Arial"/>
            <w:caps/>
            <w:color w:val="1D86BB"/>
            <w:sz w:val="18"/>
            <w:szCs w:val="18"/>
            <w:u w:val="single"/>
            <w:bdr w:val="none" w:sz="0" w:space="0" w:color="auto" w:frame="1"/>
            <w:lang w:eastAsia="tr-TR"/>
          </w:rPr>
          <w:t>CLOSE</w:t>
        </w:r>
      </w:hyperlink>
    </w:p>
    <w:p w:rsidR="0045530E" w:rsidRPr="0045530E" w:rsidRDefault="0045530E" w:rsidP="0045530E">
      <w:pPr>
        <w:numPr>
          <w:ilvl w:val="0"/>
          <w:numId w:val="9"/>
        </w:numPr>
        <w:shd w:val="clear" w:color="auto" w:fill="FFFFFF"/>
        <w:spacing w:after="0" w:line="240" w:lineRule="auto"/>
        <w:ind w:left="0"/>
        <w:textAlignment w:val="baseline"/>
        <w:rPr>
          <w:rFonts w:ascii="inherit" w:eastAsia="Times New Roman" w:hAnsi="inherit" w:cs="Arial"/>
          <w:color w:val="222222"/>
          <w:sz w:val="21"/>
          <w:szCs w:val="21"/>
          <w:lang w:eastAsia="tr-TR"/>
        </w:rPr>
      </w:pPr>
      <w:hyperlink r:id="rId49" w:history="1">
        <w:r w:rsidRPr="0045530E">
          <w:rPr>
            <w:rFonts w:ascii="Arial" w:eastAsia="Times New Roman" w:hAnsi="Arial" w:cs="Arial"/>
            <w:caps/>
            <w:color w:val="000000"/>
            <w:sz w:val="30"/>
            <w:szCs w:val="30"/>
            <w:u w:val="single"/>
            <w:bdr w:val="none" w:sz="0" w:space="0" w:color="auto" w:frame="1"/>
            <w:lang w:eastAsia="tr-TR"/>
          </w:rPr>
          <w:t>FULL PRESCRIBING INFORMATION: CONTENTS*</w:t>
        </w:r>
      </w:hyperlink>
    </w:p>
    <w:p w:rsidR="0045530E" w:rsidRPr="0045530E" w:rsidRDefault="0045530E" w:rsidP="0045530E">
      <w:pPr>
        <w:shd w:val="clear" w:color="auto" w:fill="EDF9FF"/>
        <w:spacing w:after="0" w:line="240" w:lineRule="auto"/>
        <w:ind w:left="450"/>
        <w:textAlignment w:val="baseline"/>
        <w:outlineLvl w:val="0"/>
        <w:rPr>
          <w:rFonts w:ascii="Arial" w:eastAsia="Times New Roman" w:hAnsi="Arial" w:cs="Arial"/>
          <w:caps/>
          <w:color w:val="000000"/>
          <w:kern w:val="36"/>
          <w:sz w:val="30"/>
          <w:szCs w:val="30"/>
          <w:lang w:eastAsia="tr-TR"/>
        </w:rPr>
      </w:pPr>
      <w:hyperlink r:id="rId50" w:anchor="section-1" w:history="1">
        <w:r w:rsidRPr="0045530E">
          <w:rPr>
            <w:rFonts w:ascii="Arial" w:eastAsia="Times New Roman" w:hAnsi="Arial" w:cs="Arial"/>
            <w:caps/>
            <w:color w:val="1D86BB"/>
            <w:kern w:val="36"/>
            <w:sz w:val="21"/>
            <w:szCs w:val="21"/>
            <w:u w:val="single"/>
            <w:bdr w:val="none" w:sz="0" w:space="0" w:color="auto" w:frame="1"/>
            <w:lang w:eastAsia="tr-TR"/>
          </w:rPr>
          <w:t>WARNING: CARDIOVASCULAR AND GASTROINTESTINAL RISKS</w:t>
        </w:r>
      </w:hyperlink>
    </w:p>
    <w:p w:rsidR="0045530E" w:rsidRPr="0045530E" w:rsidRDefault="0045530E" w:rsidP="0045530E">
      <w:pPr>
        <w:shd w:val="clear" w:color="auto" w:fill="EDF9FF"/>
        <w:spacing w:after="0" w:line="240" w:lineRule="auto"/>
        <w:ind w:left="450"/>
        <w:textAlignment w:val="baseline"/>
        <w:outlineLvl w:val="0"/>
        <w:rPr>
          <w:rFonts w:ascii="Arial" w:eastAsia="Times New Roman" w:hAnsi="Arial" w:cs="Arial"/>
          <w:caps/>
          <w:color w:val="000000"/>
          <w:kern w:val="36"/>
          <w:sz w:val="30"/>
          <w:szCs w:val="30"/>
          <w:lang w:eastAsia="tr-TR"/>
        </w:rPr>
      </w:pPr>
      <w:hyperlink r:id="rId51" w:anchor="section-1" w:history="1">
        <w:r w:rsidRPr="0045530E">
          <w:rPr>
            <w:rFonts w:ascii="Arial" w:eastAsia="Times New Roman" w:hAnsi="Arial" w:cs="Arial"/>
            <w:caps/>
            <w:color w:val="1D86BB"/>
            <w:kern w:val="36"/>
            <w:sz w:val="21"/>
            <w:szCs w:val="21"/>
            <w:u w:val="single"/>
            <w:bdr w:val="none" w:sz="0" w:space="0" w:color="auto" w:frame="1"/>
            <w:lang w:eastAsia="tr-TR"/>
          </w:rPr>
          <w:t>1. INDICATIONS AND USAGE</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52" w:anchor="section-1.1" w:history="1">
        <w:r w:rsidRPr="0045530E">
          <w:rPr>
            <w:rFonts w:ascii="Arial" w:eastAsia="Times New Roman" w:hAnsi="Arial" w:cs="Arial"/>
            <w:color w:val="1D86BB"/>
            <w:sz w:val="21"/>
            <w:szCs w:val="21"/>
            <w:u w:val="single"/>
            <w:bdr w:val="none" w:sz="0" w:space="0" w:color="auto" w:frame="1"/>
            <w:lang w:eastAsia="tr-TR"/>
          </w:rPr>
          <w:t>1.1 Osteoarthritis (OA)</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53" w:anchor="section-1.2" w:history="1">
        <w:r w:rsidRPr="0045530E">
          <w:rPr>
            <w:rFonts w:ascii="Arial" w:eastAsia="Times New Roman" w:hAnsi="Arial" w:cs="Arial"/>
            <w:color w:val="1D86BB"/>
            <w:sz w:val="21"/>
            <w:szCs w:val="21"/>
            <w:u w:val="single"/>
            <w:bdr w:val="none" w:sz="0" w:space="0" w:color="auto" w:frame="1"/>
            <w:lang w:eastAsia="tr-TR"/>
          </w:rPr>
          <w:t>1.2 Rheumatoid Arthritis (RA)</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54" w:anchor="section-1.3" w:history="1">
        <w:r w:rsidRPr="0045530E">
          <w:rPr>
            <w:rFonts w:ascii="Arial" w:eastAsia="Times New Roman" w:hAnsi="Arial" w:cs="Arial"/>
            <w:color w:val="1D86BB"/>
            <w:sz w:val="21"/>
            <w:szCs w:val="21"/>
            <w:u w:val="single"/>
            <w:bdr w:val="none" w:sz="0" w:space="0" w:color="auto" w:frame="1"/>
            <w:lang w:eastAsia="tr-TR"/>
          </w:rPr>
          <w:t>1.3 Juvenile Rheumatoid Arthritis (JRA)</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55" w:anchor="section-1.4" w:history="1">
        <w:r w:rsidRPr="0045530E">
          <w:rPr>
            <w:rFonts w:ascii="Arial" w:eastAsia="Times New Roman" w:hAnsi="Arial" w:cs="Arial"/>
            <w:color w:val="1D86BB"/>
            <w:sz w:val="21"/>
            <w:szCs w:val="21"/>
            <w:u w:val="single"/>
            <w:bdr w:val="none" w:sz="0" w:space="0" w:color="auto" w:frame="1"/>
            <w:lang w:eastAsia="tr-TR"/>
          </w:rPr>
          <w:t>1.4 Ankylosing Spondylitis (AS)</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56" w:anchor="section-1.5" w:history="1">
        <w:r w:rsidRPr="0045530E">
          <w:rPr>
            <w:rFonts w:ascii="Arial" w:eastAsia="Times New Roman" w:hAnsi="Arial" w:cs="Arial"/>
            <w:color w:val="1D86BB"/>
            <w:sz w:val="21"/>
            <w:szCs w:val="21"/>
            <w:u w:val="single"/>
            <w:bdr w:val="none" w:sz="0" w:space="0" w:color="auto" w:frame="1"/>
            <w:lang w:eastAsia="tr-TR"/>
          </w:rPr>
          <w:t>1.5 Acute Pain (AP)</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57" w:anchor="section-1.6" w:history="1">
        <w:r w:rsidRPr="0045530E">
          <w:rPr>
            <w:rFonts w:ascii="Arial" w:eastAsia="Times New Roman" w:hAnsi="Arial" w:cs="Arial"/>
            <w:color w:val="1D86BB"/>
            <w:sz w:val="21"/>
            <w:szCs w:val="21"/>
            <w:u w:val="single"/>
            <w:bdr w:val="none" w:sz="0" w:space="0" w:color="auto" w:frame="1"/>
            <w:lang w:eastAsia="tr-TR"/>
          </w:rPr>
          <w:t>1.6 Primary Dysmenorrhea (PD)</w:t>
        </w:r>
      </w:hyperlink>
    </w:p>
    <w:p w:rsidR="0045530E" w:rsidRPr="0045530E" w:rsidRDefault="0045530E" w:rsidP="0045530E">
      <w:pPr>
        <w:shd w:val="clear" w:color="auto" w:fill="EDF9FF"/>
        <w:spacing w:after="0" w:line="240" w:lineRule="auto"/>
        <w:ind w:left="450"/>
        <w:textAlignment w:val="baseline"/>
        <w:outlineLvl w:val="0"/>
        <w:rPr>
          <w:rFonts w:ascii="Arial" w:eastAsia="Times New Roman" w:hAnsi="Arial" w:cs="Arial"/>
          <w:caps/>
          <w:color w:val="000000"/>
          <w:kern w:val="36"/>
          <w:sz w:val="30"/>
          <w:szCs w:val="30"/>
          <w:lang w:eastAsia="tr-TR"/>
        </w:rPr>
      </w:pPr>
      <w:hyperlink r:id="rId58" w:anchor="section-2" w:history="1">
        <w:r w:rsidRPr="0045530E">
          <w:rPr>
            <w:rFonts w:ascii="Arial" w:eastAsia="Times New Roman" w:hAnsi="Arial" w:cs="Arial"/>
            <w:caps/>
            <w:color w:val="1D86BB"/>
            <w:kern w:val="36"/>
            <w:sz w:val="21"/>
            <w:szCs w:val="21"/>
            <w:u w:val="single"/>
            <w:bdr w:val="none" w:sz="0" w:space="0" w:color="auto" w:frame="1"/>
            <w:lang w:eastAsia="tr-TR"/>
          </w:rPr>
          <w:t>2. DOSAGE AND ADMINISTRATION</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59" w:anchor="section-2.1" w:history="1">
        <w:r w:rsidRPr="0045530E">
          <w:rPr>
            <w:rFonts w:ascii="Arial" w:eastAsia="Times New Roman" w:hAnsi="Arial" w:cs="Arial"/>
            <w:color w:val="1D86BB"/>
            <w:sz w:val="21"/>
            <w:szCs w:val="21"/>
            <w:u w:val="single"/>
            <w:bdr w:val="none" w:sz="0" w:space="0" w:color="auto" w:frame="1"/>
            <w:lang w:eastAsia="tr-TR"/>
          </w:rPr>
          <w:t>2.1 Osteoarthritis</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60" w:anchor="section-2.2" w:history="1">
        <w:r w:rsidRPr="0045530E">
          <w:rPr>
            <w:rFonts w:ascii="Arial" w:eastAsia="Times New Roman" w:hAnsi="Arial" w:cs="Arial"/>
            <w:color w:val="1D86BB"/>
            <w:sz w:val="21"/>
            <w:szCs w:val="21"/>
            <w:u w:val="single"/>
            <w:bdr w:val="none" w:sz="0" w:space="0" w:color="auto" w:frame="1"/>
            <w:lang w:eastAsia="tr-TR"/>
          </w:rPr>
          <w:t>2.2 Rheumatoid Arthritis</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61" w:anchor="section-2.3" w:history="1">
        <w:r w:rsidRPr="0045530E">
          <w:rPr>
            <w:rFonts w:ascii="Arial" w:eastAsia="Times New Roman" w:hAnsi="Arial" w:cs="Arial"/>
            <w:color w:val="1D86BB"/>
            <w:sz w:val="21"/>
            <w:szCs w:val="21"/>
            <w:u w:val="single"/>
            <w:bdr w:val="none" w:sz="0" w:space="0" w:color="auto" w:frame="1"/>
            <w:lang w:eastAsia="tr-TR"/>
          </w:rPr>
          <w:t>2.3 Juvenile Rheumatoid Arthritis</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62" w:anchor="section-2.4" w:history="1">
        <w:r w:rsidRPr="0045530E">
          <w:rPr>
            <w:rFonts w:ascii="Arial" w:eastAsia="Times New Roman" w:hAnsi="Arial" w:cs="Arial"/>
            <w:color w:val="1D86BB"/>
            <w:sz w:val="21"/>
            <w:szCs w:val="21"/>
            <w:u w:val="single"/>
            <w:bdr w:val="none" w:sz="0" w:space="0" w:color="auto" w:frame="1"/>
            <w:lang w:eastAsia="tr-TR"/>
          </w:rPr>
          <w:t>2.4 Ankylosing Spondylitis</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63" w:anchor="section-2.5" w:history="1">
        <w:r w:rsidRPr="0045530E">
          <w:rPr>
            <w:rFonts w:ascii="Arial" w:eastAsia="Times New Roman" w:hAnsi="Arial" w:cs="Arial"/>
            <w:color w:val="1D86BB"/>
            <w:sz w:val="21"/>
            <w:szCs w:val="21"/>
            <w:u w:val="single"/>
            <w:bdr w:val="none" w:sz="0" w:space="0" w:color="auto" w:frame="1"/>
            <w:lang w:eastAsia="tr-TR"/>
          </w:rPr>
          <w:t>2.5 Management of Acute Pain and Treatment of Primary Dysmenorrhea</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64" w:anchor="section-2.6" w:history="1">
        <w:r w:rsidRPr="0045530E">
          <w:rPr>
            <w:rFonts w:ascii="Arial" w:eastAsia="Times New Roman" w:hAnsi="Arial" w:cs="Arial"/>
            <w:color w:val="1D86BB"/>
            <w:sz w:val="21"/>
            <w:szCs w:val="21"/>
            <w:u w:val="single"/>
            <w:bdr w:val="none" w:sz="0" w:space="0" w:color="auto" w:frame="1"/>
            <w:lang w:eastAsia="tr-TR"/>
          </w:rPr>
          <w:t>2.6 Special Populations</w:t>
        </w:r>
      </w:hyperlink>
    </w:p>
    <w:p w:rsidR="0045530E" w:rsidRPr="0045530E" w:rsidRDefault="0045530E" w:rsidP="0045530E">
      <w:pPr>
        <w:shd w:val="clear" w:color="auto" w:fill="EDF9FF"/>
        <w:spacing w:after="0" w:line="240" w:lineRule="auto"/>
        <w:ind w:left="450"/>
        <w:textAlignment w:val="baseline"/>
        <w:outlineLvl w:val="0"/>
        <w:rPr>
          <w:rFonts w:ascii="Arial" w:eastAsia="Times New Roman" w:hAnsi="Arial" w:cs="Arial"/>
          <w:caps/>
          <w:color w:val="000000"/>
          <w:kern w:val="36"/>
          <w:sz w:val="30"/>
          <w:szCs w:val="30"/>
          <w:lang w:eastAsia="tr-TR"/>
        </w:rPr>
      </w:pPr>
      <w:hyperlink r:id="rId65" w:anchor="section-3" w:history="1">
        <w:r w:rsidRPr="0045530E">
          <w:rPr>
            <w:rFonts w:ascii="Arial" w:eastAsia="Times New Roman" w:hAnsi="Arial" w:cs="Arial"/>
            <w:caps/>
            <w:color w:val="1D86BB"/>
            <w:kern w:val="36"/>
            <w:sz w:val="21"/>
            <w:szCs w:val="21"/>
            <w:u w:val="single"/>
            <w:bdr w:val="none" w:sz="0" w:space="0" w:color="auto" w:frame="1"/>
            <w:lang w:eastAsia="tr-TR"/>
          </w:rPr>
          <w:t>3. DOSAGE FORMS AND STRENGTHS</w:t>
        </w:r>
      </w:hyperlink>
    </w:p>
    <w:p w:rsidR="0045530E" w:rsidRPr="0045530E" w:rsidRDefault="0045530E" w:rsidP="0045530E">
      <w:pPr>
        <w:shd w:val="clear" w:color="auto" w:fill="EDF9FF"/>
        <w:spacing w:after="0" w:line="240" w:lineRule="auto"/>
        <w:ind w:left="450"/>
        <w:textAlignment w:val="baseline"/>
        <w:outlineLvl w:val="0"/>
        <w:rPr>
          <w:rFonts w:ascii="Arial" w:eastAsia="Times New Roman" w:hAnsi="Arial" w:cs="Arial"/>
          <w:caps/>
          <w:color w:val="000000"/>
          <w:kern w:val="36"/>
          <w:sz w:val="30"/>
          <w:szCs w:val="30"/>
          <w:lang w:eastAsia="tr-TR"/>
        </w:rPr>
      </w:pPr>
      <w:hyperlink r:id="rId66" w:anchor="section-4" w:history="1">
        <w:r w:rsidRPr="0045530E">
          <w:rPr>
            <w:rFonts w:ascii="Arial" w:eastAsia="Times New Roman" w:hAnsi="Arial" w:cs="Arial"/>
            <w:caps/>
            <w:color w:val="1D86BB"/>
            <w:kern w:val="36"/>
            <w:sz w:val="21"/>
            <w:szCs w:val="21"/>
            <w:u w:val="single"/>
            <w:bdr w:val="none" w:sz="0" w:space="0" w:color="auto" w:frame="1"/>
            <w:lang w:eastAsia="tr-TR"/>
          </w:rPr>
          <w:t>4. CONTRAINDICATIONS</w:t>
        </w:r>
      </w:hyperlink>
    </w:p>
    <w:p w:rsidR="0045530E" w:rsidRPr="0045530E" w:rsidRDefault="0045530E" w:rsidP="0045530E">
      <w:pPr>
        <w:shd w:val="clear" w:color="auto" w:fill="EDF9FF"/>
        <w:spacing w:after="0" w:line="240" w:lineRule="auto"/>
        <w:ind w:left="450"/>
        <w:textAlignment w:val="baseline"/>
        <w:outlineLvl w:val="0"/>
        <w:rPr>
          <w:rFonts w:ascii="Arial" w:eastAsia="Times New Roman" w:hAnsi="Arial" w:cs="Arial"/>
          <w:caps/>
          <w:color w:val="000000"/>
          <w:kern w:val="36"/>
          <w:sz w:val="30"/>
          <w:szCs w:val="30"/>
          <w:lang w:eastAsia="tr-TR"/>
        </w:rPr>
      </w:pPr>
      <w:hyperlink r:id="rId67" w:anchor="section-5" w:history="1">
        <w:r w:rsidRPr="0045530E">
          <w:rPr>
            <w:rFonts w:ascii="Arial" w:eastAsia="Times New Roman" w:hAnsi="Arial" w:cs="Arial"/>
            <w:caps/>
            <w:color w:val="1D86BB"/>
            <w:kern w:val="36"/>
            <w:sz w:val="21"/>
            <w:szCs w:val="21"/>
            <w:u w:val="single"/>
            <w:bdr w:val="none" w:sz="0" w:space="0" w:color="auto" w:frame="1"/>
            <w:lang w:eastAsia="tr-TR"/>
          </w:rPr>
          <w:t>5. WARNINGS AND PRECAUTIONS</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68" w:anchor="section-5.1" w:history="1">
        <w:r w:rsidRPr="0045530E">
          <w:rPr>
            <w:rFonts w:ascii="Arial" w:eastAsia="Times New Roman" w:hAnsi="Arial" w:cs="Arial"/>
            <w:color w:val="1D86BB"/>
            <w:sz w:val="21"/>
            <w:szCs w:val="21"/>
            <w:u w:val="single"/>
            <w:bdr w:val="none" w:sz="0" w:space="0" w:color="auto" w:frame="1"/>
            <w:lang w:eastAsia="tr-TR"/>
          </w:rPr>
          <w:t>5.1 Cardiovascular Thrombotic Events</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69" w:anchor="section-5.2" w:history="1">
        <w:r w:rsidRPr="0045530E">
          <w:rPr>
            <w:rFonts w:ascii="Arial" w:eastAsia="Times New Roman" w:hAnsi="Arial" w:cs="Arial"/>
            <w:color w:val="1D86BB"/>
            <w:sz w:val="21"/>
            <w:szCs w:val="21"/>
            <w:u w:val="single"/>
            <w:bdr w:val="none" w:sz="0" w:space="0" w:color="auto" w:frame="1"/>
            <w:lang w:eastAsia="tr-TR"/>
          </w:rPr>
          <w:t>5.2 Hypertension</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70" w:anchor="section-5.3" w:history="1">
        <w:r w:rsidRPr="0045530E">
          <w:rPr>
            <w:rFonts w:ascii="Arial" w:eastAsia="Times New Roman" w:hAnsi="Arial" w:cs="Arial"/>
            <w:color w:val="1D86BB"/>
            <w:sz w:val="21"/>
            <w:szCs w:val="21"/>
            <w:u w:val="single"/>
            <w:bdr w:val="none" w:sz="0" w:space="0" w:color="auto" w:frame="1"/>
            <w:lang w:eastAsia="tr-TR"/>
          </w:rPr>
          <w:t>5.3 Congestive Heart Failure and Edema</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71" w:anchor="section-5.4" w:history="1">
        <w:r w:rsidRPr="0045530E">
          <w:rPr>
            <w:rFonts w:ascii="Arial" w:eastAsia="Times New Roman" w:hAnsi="Arial" w:cs="Arial"/>
            <w:color w:val="1D86BB"/>
            <w:sz w:val="21"/>
            <w:szCs w:val="21"/>
            <w:u w:val="single"/>
            <w:bdr w:val="none" w:sz="0" w:space="0" w:color="auto" w:frame="1"/>
            <w:lang w:eastAsia="tr-TR"/>
          </w:rPr>
          <w:t>5.4 Gastrointestinal (GI) Effects</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72" w:anchor="section-5.5" w:history="1">
        <w:r w:rsidRPr="0045530E">
          <w:rPr>
            <w:rFonts w:ascii="Arial" w:eastAsia="Times New Roman" w:hAnsi="Arial" w:cs="Arial"/>
            <w:color w:val="1D86BB"/>
            <w:sz w:val="21"/>
            <w:szCs w:val="21"/>
            <w:u w:val="single"/>
            <w:bdr w:val="none" w:sz="0" w:space="0" w:color="auto" w:frame="1"/>
            <w:lang w:eastAsia="tr-TR"/>
          </w:rPr>
          <w:t>5.5 Hepatic Effects</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73" w:anchor="section-5.6" w:history="1">
        <w:r w:rsidRPr="0045530E">
          <w:rPr>
            <w:rFonts w:ascii="Arial" w:eastAsia="Times New Roman" w:hAnsi="Arial" w:cs="Arial"/>
            <w:color w:val="1D86BB"/>
            <w:sz w:val="21"/>
            <w:szCs w:val="21"/>
            <w:u w:val="single"/>
            <w:bdr w:val="none" w:sz="0" w:space="0" w:color="auto" w:frame="1"/>
            <w:lang w:eastAsia="tr-TR"/>
          </w:rPr>
          <w:t>5.6 Renal Effects</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74" w:anchor="section-5.7" w:history="1">
        <w:r w:rsidRPr="0045530E">
          <w:rPr>
            <w:rFonts w:ascii="Arial" w:eastAsia="Times New Roman" w:hAnsi="Arial" w:cs="Arial"/>
            <w:color w:val="1D86BB"/>
            <w:sz w:val="21"/>
            <w:szCs w:val="21"/>
            <w:u w:val="single"/>
            <w:bdr w:val="none" w:sz="0" w:space="0" w:color="auto" w:frame="1"/>
            <w:lang w:eastAsia="tr-TR"/>
          </w:rPr>
          <w:t>5.7 Anaphylactoid Reactions</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75" w:anchor="section-5.8" w:history="1">
        <w:r w:rsidRPr="0045530E">
          <w:rPr>
            <w:rFonts w:ascii="Arial" w:eastAsia="Times New Roman" w:hAnsi="Arial" w:cs="Arial"/>
            <w:color w:val="1D86BB"/>
            <w:sz w:val="21"/>
            <w:szCs w:val="21"/>
            <w:u w:val="single"/>
            <w:bdr w:val="none" w:sz="0" w:space="0" w:color="auto" w:frame="1"/>
            <w:lang w:eastAsia="tr-TR"/>
          </w:rPr>
          <w:t>5.8 Skin Reactions</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76" w:anchor="section-5.9" w:history="1">
        <w:r w:rsidRPr="0045530E">
          <w:rPr>
            <w:rFonts w:ascii="Arial" w:eastAsia="Times New Roman" w:hAnsi="Arial" w:cs="Arial"/>
            <w:color w:val="1D86BB"/>
            <w:sz w:val="21"/>
            <w:szCs w:val="21"/>
            <w:u w:val="single"/>
            <w:bdr w:val="none" w:sz="0" w:space="0" w:color="auto" w:frame="1"/>
            <w:lang w:eastAsia="tr-TR"/>
          </w:rPr>
          <w:t>5.9 Pregnancy</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77" w:anchor="section-5.10" w:history="1">
        <w:r w:rsidRPr="0045530E">
          <w:rPr>
            <w:rFonts w:ascii="Arial" w:eastAsia="Times New Roman" w:hAnsi="Arial" w:cs="Arial"/>
            <w:color w:val="1D86BB"/>
            <w:sz w:val="21"/>
            <w:szCs w:val="21"/>
            <w:u w:val="single"/>
            <w:bdr w:val="none" w:sz="0" w:space="0" w:color="auto" w:frame="1"/>
            <w:lang w:eastAsia="tr-TR"/>
          </w:rPr>
          <w:t>5.10 Corticosteroid Treatment</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78" w:anchor="section-5.11" w:history="1">
        <w:r w:rsidRPr="0045530E">
          <w:rPr>
            <w:rFonts w:ascii="Arial" w:eastAsia="Times New Roman" w:hAnsi="Arial" w:cs="Arial"/>
            <w:color w:val="1D86BB"/>
            <w:sz w:val="21"/>
            <w:szCs w:val="21"/>
            <w:u w:val="single"/>
            <w:bdr w:val="none" w:sz="0" w:space="0" w:color="auto" w:frame="1"/>
            <w:lang w:eastAsia="tr-TR"/>
          </w:rPr>
          <w:t>5.11 Hematological Effects</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79" w:anchor="section-5.12" w:history="1">
        <w:r w:rsidRPr="0045530E">
          <w:rPr>
            <w:rFonts w:ascii="Arial" w:eastAsia="Times New Roman" w:hAnsi="Arial" w:cs="Arial"/>
            <w:color w:val="1D86BB"/>
            <w:sz w:val="21"/>
            <w:szCs w:val="21"/>
            <w:u w:val="single"/>
            <w:bdr w:val="none" w:sz="0" w:space="0" w:color="auto" w:frame="1"/>
            <w:lang w:eastAsia="tr-TR"/>
          </w:rPr>
          <w:t>5.12 Disseminated Intravascular Coagulation (DIC)</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80" w:anchor="section-5.13" w:history="1">
        <w:r w:rsidRPr="0045530E">
          <w:rPr>
            <w:rFonts w:ascii="Arial" w:eastAsia="Times New Roman" w:hAnsi="Arial" w:cs="Arial"/>
            <w:color w:val="1D86BB"/>
            <w:sz w:val="21"/>
            <w:szCs w:val="21"/>
            <w:u w:val="single"/>
            <w:bdr w:val="none" w:sz="0" w:space="0" w:color="auto" w:frame="1"/>
            <w:lang w:eastAsia="tr-TR"/>
          </w:rPr>
          <w:t>5.13 Preexisting Asthma</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81" w:anchor="section-5.14" w:history="1">
        <w:r w:rsidRPr="0045530E">
          <w:rPr>
            <w:rFonts w:ascii="Arial" w:eastAsia="Times New Roman" w:hAnsi="Arial" w:cs="Arial"/>
            <w:color w:val="1D86BB"/>
            <w:sz w:val="21"/>
            <w:szCs w:val="21"/>
            <w:u w:val="single"/>
            <w:bdr w:val="none" w:sz="0" w:space="0" w:color="auto" w:frame="1"/>
            <w:lang w:eastAsia="tr-TR"/>
          </w:rPr>
          <w:t>5.14 Laboratory Tests</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82" w:anchor="section-5.15" w:history="1">
        <w:r w:rsidRPr="0045530E">
          <w:rPr>
            <w:rFonts w:ascii="Arial" w:eastAsia="Times New Roman" w:hAnsi="Arial" w:cs="Arial"/>
            <w:color w:val="1D86BB"/>
            <w:sz w:val="21"/>
            <w:szCs w:val="21"/>
            <w:u w:val="single"/>
            <w:bdr w:val="none" w:sz="0" w:space="0" w:color="auto" w:frame="1"/>
            <w:lang w:eastAsia="tr-TR"/>
          </w:rPr>
          <w:t>5.15 Inflammation</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83" w:anchor="section-5.16" w:history="1">
        <w:r w:rsidRPr="0045530E">
          <w:rPr>
            <w:rFonts w:ascii="Arial" w:eastAsia="Times New Roman" w:hAnsi="Arial" w:cs="Arial"/>
            <w:color w:val="1D86BB"/>
            <w:sz w:val="21"/>
            <w:szCs w:val="21"/>
            <w:u w:val="single"/>
            <w:bdr w:val="none" w:sz="0" w:space="0" w:color="auto" w:frame="1"/>
            <w:lang w:eastAsia="tr-TR"/>
          </w:rPr>
          <w:t>5.16 Concomitant NSAID Use</w:t>
        </w:r>
      </w:hyperlink>
    </w:p>
    <w:p w:rsidR="0045530E" w:rsidRPr="0045530E" w:rsidRDefault="0045530E" w:rsidP="0045530E">
      <w:pPr>
        <w:shd w:val="clear" w:color="auto" w:fill="EDF9FF"/>
        <w:spacing w:after="0" w:line="240" w:lineRule="auto"/>
        <w:ind w:left="450"/>
        <w:textAlignment w:val="baseline"/>
        <w:outlineLvl w:val="0"/>
        <w:rPr>
          <w:rFonts w:ascii="Arial" w:eastAsia="Times New Roman" w:hAnsi="Arial" w:cs="Arial"/>
          <w:caps/>
          <w:color w:val="000000"/>
          <w:kern w:val="36"/>
          <w:sz w:val="30"/>
          <w:szCs w:val="30"/>
          <w:lang w:eastAsia="tr-TR"/>
        </w:rPr>
      </w:pPr>
      <w:hyperlink r:id="rId84" w:anchor="section-6" w:history="1">
        <w:r w:rsidRPr="0045530E">
          <w:rPr>
            <w:rFonts w:ascii="Arial" w:eastAsia="Times New Roman" w:hAnsi="Arial" w:cs="Arial"/>
            <w:caps/>
            <w:color w:val="1D86BB"/>
            <w:kern w:val="36"/>
            <w:sz w:val="21"/>
            <w:szCs w:val="21"/>
            <w:u w:val="single"/>
            <w:bdr w:val="none" w:sz="0" w:space="0" w:color="auto" w:frame="1"/>
            <w:lang w:eastAsia="tr-TR"/>
          </w:rPr>
          <w:t>6. ADVERSE REACTIONS</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85" w:anchor="section-6.1" w:history="1">
        <w:r w:rsidRPr="0045530E">
          <w:rPr>
            <w:rFonts w:ascii="Arial" w:eastAsia="Times New Roman" w:hAnsi="Arial" w:cs="Arial"/>
            <w:color w:val="1D86BB"/>
            <w:sz w:val="21"/>
            <w:szCs w:val="21"/>
            <w:u w:val="single"/>
            <w:bdr w:val="none" w:sz="0" w:space="0" w:color="auto" w:frame="1"/>
            <w:lang w:eastAsia="tr-TR"/>
          </w:rPr>
          <w:t>6.1 Pre-</w:t>
        </w:r>
        <w:proofErr w:type="gramStart"/>
        <w:r w:rsidRPr="0045530E">
          <w:rPr>
            <w:rFonts w:ascii="Arial" w:eastAsia="Times New Roman" w:hAnsi="Arial" w:cs="Arial"/>
            <w:color w:val="1D86BB"/>
            <w:sz w:val="21"/>
            <w:szCs w:val="21"/>
            <w:u w:val="single"/>
            <w:bdr w:val="none" w:sz="0" w:space="0" w:color="auto" w:frame="1"/>
            <w:lang w:eastAsia="tr-TR"/>
          </w:rPr>
          <w:t>marketing</w:t>
        </w:r>
        <w:proofErr w:type="gramEnd"/>
        <w:r w:rsidRPr="0045530E">
          <w:rPr>
            <w:rFonts w:ascii="Arial" w:eastAsia="Times New Roman" w:hAnsi="Arial" w:cs="Arial"/>
            <w:color w:val="1D86BB"/>
            <w:sz w:val="21"/>
            <w:szCs w:val="21"/>
            <w:u w:val="single"/>
            <w:bdr w:val="none" w:sz="0" w:space="0" w:color="auto" w:frame="1"/>
            <w:lang w:eastAsia="tr-TR"/>
          </w:rPr>
          <w:t xml:space="preserve"> Controlled Arthritis Trials</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86" w:anchor="section-6.2" w:history="1">
        <w:r w:rsidRPr="0045530E">
          <w:rPr>
            <w:rFonts w:ascii="Arial" w:eastAsia="Times New Roman" w:hAnsi="Arial" w:cs="Arial"/>
            <w:color w:val="1D86BB"/>
            <w:sz w:val="21"/>
            <w:szCs w:val="21"/>
            <w:u w:val="single"/>
            <w:bdr w:val="none" w:sz="0" w:space="0" w:color="auto" w:frame="1"/>
            <w:lang w:eastAsia="tr-TR"/>
          </w:rPr>
          <w:t>6.2 The Celecoxib Long-Term Arthritis Safety Study</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87" w:anchor="section-6.3" w:history="1">
        <w:r w:rsidRPr="0045530E">
          <w:rPr>
            <w:rFonts w:ascii="Arial" w:eastAsia="Times New Roman" w:hAnsi="Arial" w:cs="Arial"/>
            <w:color w:val="1D86BB"/>
            <w:sz w:val="21"/>
            <w:szCs w:val="21"/>
            <w:u w:val="single"/>
            <w:bdr w:val="none" w:sz="0" w:space="0" w:color="auto" w:frame="1"/>
            <w:lang w:eastAsia="tr-TR"/>
          </w:rPr>
          <w:t>6.3 Juvenile Rheumatoid Arthritis Study</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88" w:anchor="section-6.4" w:history="1">
        <w:r w:rsidRPr="0045530E">
          <w:rPr>
            <w:rFonts w:ascii="Arial" w:eastAsia="Times New Roman" w:hAnsi="Arial" w:cs="Arial"/>
            <w:color w:val="1D86BB"/>
            <w:sz w:val="21"/>
            <w:szCs w:val="21"/>
            <w:u w:val="single"/>
            <w:bdr w:val="none" w:sz="0" w:space="0" w:color="auto" w:frame="1"/>
            <w:lang w:eastAsia="tr-TR"/>
          </w:rPr>
          <w:t>6.4 Other Pre-Approval Studies</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89" w:anchor="section-6.5" w:history="1">
        <w:r w:rsidRPr="0045530E">
          <w:rPr>
            <w:rFonts w:ascii="Arial" w:eastAsia="Times New Roman" w:hAnsi="Arial" w:cs="Arial"/>
            <w:color w:val="1D86BB"/>
            <w:sz w:val="21"/>
            <w:szCs w:val="21"/>
            <w:u w:val="single"/>
            <w:bdr w:val="none" w:sz="0" w:space="0" w:color="auto" w:frame="1"/>
            <w:lang w:eastAsia="tr-TR"/>
          </w:rPr>
          <w:t>6.5 The APC and PreSAP Trials</w:t>
        </w:r>
      </w:hyperlink>
    </w:p>
    <w:p w:rsidR="0045530E" w:rsidRPr="0045530E" w:rsidRDefault="0045530E" w:rsidP="0045530E">
      <w:pPr>
        <w:shd w:val="clear" w:color="auto" w:fill="EDF9FF"/>
        <w:spacing w:after="0" w:line="240" w:lineRule="auto"/>
        <w:ind w:left="450"/>
        <w:textAlignment w:val="baseline"/>
        <w:outlineLvl w:val="0"/>
        <w:rPr>
          <w:rFonts w:ascii="Arial" w:eastAsia="Times New Roman" w:hAnsi="Arial" w:cs="Arial"/>
          <w:caps/>
          <w:color w:val="000000"/>
          <w:kern w:val="36"/>
          <w:sz w:val="30"/>
          <w:szCs w:val="30"/>
          <w:lang w:eastAsia="tr-TR"/>
        </w:rPr>
      </w:pPr>
      <w:hyperlink r:id="rId90" w:anchor="section-7" w:history="1">
        <w:r w:rsidRPr="0045530E">
          <w:rPr>
            <w:rFonts w:ascii="Arial" w:eastAsia="Times New Roman" w:hAnsi="Arial" w:cs="Arial"/>
            <w:caps/>
            <w:color w:val="1D86BB"/>
            <w:kern w:val="36"/>
            <w:sz w:val="21"/>
            <w:szCs w:val="21"/>
            <w:u w:val="single"/>
            <w:bdr w:val="none" w:sz="0" w:space="0" w:color="auto" w:frame="1"/>
            <w:lang w:eastAsia="tr-TR"/>
          </w:rPr>
          <w:t>7 DRUG INTERACTIONS</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91" w:anchor="section-7.1" w:history="1">
        <w:r w:rsidRPr="0045530E">
          <w:rPr>
            <w:rFonts w:ascii="Arial" w:eastAsia="Times New Roman" w:hAnsi="Arial" w:cs="Arial"/>
            <w:color w:val="1D86BB"/>
            <w:sz w:val="21"/>
            <w:szCs w:val="21"/>
            <w:u w:val="single"/>
            <w:bdr w:val="none" w:sz="0" w:space="0" w:color="auto" w:frame="1"/>
            <w:lang w:eastAsia="tr-TR"/>
          </w:rPr>
          <w:t>7.1 Warfarin</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92" w:anchor="section-7.2" w:history="1">
        <w:r w:rsidRPr="0045530E">
          <w:rPr>
            <w:rFonts w:ascii="Arial" w:eastAsia="Times New Roman" w:hAnsi="Arial" w:cs="Arial"/>
            <w:color w:val="1D86BB"/>
            <w:sz w:val="21"/>
            <w:szCs w:val="21"/>
            <w:u w:val="single"/>
            <w:bdr w:val="none" w:sz="0" w:space="0" w:color="auto" w:frame="1"/>
            <w:lang w:eastAsia="tr-TR"/>
          </w:rPr>
          <w:t>7.2 Lithium</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93" w:anchor="section-7.3" w:history="1">
        <w:r w:rsidRPr="0045530E">
          <w:rPr>
            <w:rFonts w:ascii="Arial" w:eastAsia="Times New Roman" w:hAnsi="Arial" w:cs="Arial"/>
            <w:color w:val="1D86BB"/>
            <w:sz w:val="21"/>
            <w:szCs w:val="21"/>
            <w:u w:val="single"/>
            <w:bdr w:val="none" w:sz="0" w:space="0" w:color="auto" w:frame="1"/>
            <w:lang w:eastAsia="tr-TR"/>
          </w:rPr>
          <w:t>7.3 Aspirin</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94" w:anchor="section-7.4" w:history="1">
        <w:r w:rsidRPr="0045530E">
          <w:rPr>
            <w:rFonts w:ascii="Arial" w:eastAsia="Times New Roman" w:hAnsi="Arial" w:cs="Arial"/>
            <w:color w:val="1D86BB"/>
            <w:sz w:val="21"/>
            <w:szCs w:val="21"/>
            <w:u w:val="single"/>
            <w:bdr w:val="none" w:sz="0" w:space="0" w:color="auto" w:frame="1"/>
            <w:lang w:eastAsia="tr-TR"/>
          </w:rPr>
          <w:t>7.4 ACE-inhibitors and Angiotensin II Antagonists</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95" w:anchor="section-7.5" w:history="1">
        <w:r w:rsidRPr="0045530E">
          <w:rPr>
            <w:rFonts w:ascii="Arial" w:eastAsia="Times New Roman" w:hAnsi="Arial" w:cs="Arial"/>
            <w:color w:val="1D86BB"/>
            <w:sz w:val="21"/>
            <w:szCs w:val="21"/>
            <w:u w:val="single"/>
            <w:bdr w:val="none" w:sz="0" w:space="0" w:color="auto" w:frame="1"/>
            <w:lang w:eastAsia="tr-TR"/>
          </w:rPr>
          <w:t>7.5 Fluconazole</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96" w:anchor="section-7.6" w:history="1">
        <w:r w:rsidRPr="0045530E">
          <w:rPr>
            <w:rFonts w:ascii="Arial" w:eastAsia="Times New Roman" w:hAnsi="Arial" w:cs="Arial"/>
            <w:color w:val="1D86BB"/>
            <w:sz w:val="21"/>
            <w:szCs w:val="21"/>
            <w:u w:val="single"/>
            <w:bdr w:val="none" w:sz="0" w:space="0" w:color="auto" w:frame="1"/>
            <w:lang w:eastAsia="tr-TR"/>
          </w:rPr>
          <w:t>7.6 Furosemide</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97" w:anchor="section-7.7" w:history="1">
        <w:r w:rsidRPr="0045530E">
          <w:rPr>
            <w:rFonts w:ascii="Arial" w:eastAsia="Times New Roman" w:hAnsi="Arial" w:cs="Arial"/>
            <w:color w:val="1D86BB"/>
            <w:sz w:val="21"/>
            <w:szCs w:val="21"/>
            <w:u w:val="single"/>
            <w:bdr w:val="none" w:sz="0" w:space="0" w:color="auto" w:frame="1"/>
            <w:lang w:eastAsia="tr-TR"/>
          </w:rPr>
          <w:t>7.7 Methotrexate</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98" w:anchor="section-7.8" w:history="1">
        <w:r w:rsidRPr="0045530E">
          <w:rPr>
            <w:rFonts w:ascii="Arial" w:eastAsia="Times New Roman" w:hAnsi="Arial" w:cs="Arial"/>
            <w:color w:val="1D86BB"/>
            <w:sz w:val="21"/>
            <w:szCs w:val="21"/>
            <w:u w:val="single"/>
            <w:bdr w:val="none" w:sz="0" w:space="0" w:color="auto" w:frame="1"/>
            <w:lang w:eastAsia="tr-TR"/>
          </w:rPr>
          <w:t>7.8 Concomitant NSAID Use</w:t>
        </w:r>
      </w:hyperlink>
    </w:p>
    <w:p w:rsidR="0045530E" w:rsidRPr="0045530E" w:rsidRDefault="0045530E" w:rsidP="0045530E">
      <w:pPr>
        <w:shd w:val="clear" w:color="auto" w:fill="EDF9FF"/>
        <w:spacing w:after="0" w:line="240" w:lineRule="auto"/>
        <w:ind w:left="450"/>
        <w:textAlignment w:val="baseline"/>
        <w:outlineLvl w:val="0"/>
        <w:rPr>
          <w:rFonts w:ascii="Arial" w:eastAsia="Times New Roman" w:hAnsi="Arial" w:cs="Arial"/>
          <w:caps/>
          <w:color w:val="000000"/>
          <w:kern w:val="36"/>
          <w:sz w:val="30"/>
          <w:szCs w:val="30"/>
          <w:lang w:eastAsia="tr-TR"/>
        </w:rPr>
      </w:pPr>
      <w:hyperlink r:id="rId99" w:anchor="section-8" w:history="1">
        <w:r w:rsidRPr="0045530E">
          <w:rPr>
            <w:rFonts w:ascii="Arial" w:eastAsia="Times New Roman" w:hAnsi="Arial" w:cs="Arial"/>
            <w:caps/>
            <w:color w:val="1D86BB"/>
            <w:kern w:val="36"/>
            <w:sz w:val="21"/>
            <w:szCs w:val="21"/>
            <w:u w:val="single"/>
            <w:bdr w:val="none" w:sz="0" w:space="0" w:color="auto" w:frame="1"/>
            <w:lang w:eastAsia="tr-TR"/>
          </w:rPr>
          <w:t>8. USE IN SPECIFIC POPULATIONS</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100" w:anchor="section-8.1" w:history="1">
        <w:r w:rsidRPr="0045530E">
          <w:rPr>
            <w:rFonts w:ascii="Arial" w:eastAsia="Times New Roman" w:hAnsi="Arial" w:cs="Arial"/>
            <w:color w:val="1D86BB"/>
            <w:sz w:val="21"/>
            <w:szCs w:val="21"/>
            <w:u w:val="single"/>
            <w:bdr w:val="none" w:sz="0" w:space="0" w:color="auto" w:frame="1"/>
            <w:lang w:eastAsia="tr-TR"/>
          </w:rPr>
          <w:t>8.1 Pregnancy</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101" w:anchor="section-8.2" w:history="1">
        <w:r w:rsidRPr="0045530E">
          <w:rPr>
            <w:rFonts w:ascii="Arial" w:eastAsia="Times New Roman" w:hAnsi="Arial" w:cs="Arial"/>
            <w:color w:val="1D86BB"/>
            <w:sz w:val="21"/>
            <w:szCs w:val="21"/>
            <w:u w:val="single"/>
            <w:bdr w:val="none" w:sz="0" w:space="0" w:color="auto" w:frame="1"/>
            <w:lang w:eastAsia="tr-TR"/>
          </w:rPr>
          <w:t>8.2 Labor and Delivery</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102" w:anchor="section-8.3" w:history="1">
        <w:r w:rsidRPr="0045530E">
          <w:rPr>
            <w:rFonts w:ascii="Arial" w:eastAsia="Times New Roman" w:hAnsi="Arial" w:cs="Arial"/>
            <w:color w:val="1D86BB"/>
            <w:sz w:val="21"/>
            <w:szCs w:val="21"/>
            <w:u w:val="single"/>
            <w:bdr w:val="none" w:sz="0" w:space="0" w:color="auto" w:frame="1"/>
            <w:lang w:eastAsia="tr-TR"/>
          </w:rPr>
          <w:t>8.3 Nursing Mothers</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103" w:anchor="section-8.4" w:history="1">
        <w:r w:rsidRPr="0045530E">
          <w:rPr>
            <w:rFonts w:ascii="Arial" w:eastAsia="Times New Roman" w:hAnsi="Arial" w:cs="Arial"/>
            <w:color w:val="1D86BB"/>
            <w:sz w:val="21"/>
            <w:szCs w:val="21"/>
            <w:u w:val="single"/>
            <w:bdr w:val="none" w:sz="0" w:space="0" w:color="auto" w:frame="1"/>
            <w:lang w:eastAsia="tr-TR"/>
          </w:rPr>
          <w:t>8.4 Pediatric Use</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104" w:anchor="section-8.5" w:history="1">
        <w:r w:rsidRPr="0045530E">
          <w:rPr>
            <w:rFonts w:ascii="Arial" w:eastAsia="Times New Roman" w:hAnsi="Arial" w:cs="Arial"/>
            <w:color w:val="1D86BB"/>
            <w:sz w:val="21"/>
            <w:szCs w:val="21"/>
            <w:u w:val="single"/>
            <w:bdr w:val="none" w:sz="0" w:space="0" w:color="auto" w:frame="1"/>
            <w:lang w:eastAsia="tr-TR"/>
          </w:rPr>
          <w:t>8.5 Geriatric Use</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105" w:anchor="section-8.6" w:history="1">
        <w:r w:rsidRPr="0045530E">
          <w:rPr>
            <w:rFonts w:ascii="Arial" w:eastAsia="Times New Roman" w:hAnsi="Arial" w:cs="Arial"/>
            <w:color w:val="1D86BB"/>
            <w:sz w:val="21"/>
            <w:szCs w:val="21"/>
            <w:u w:val="single"/>
            <w:bdr w:val="none" w:sz="0" w:space="0" w:color="auto" w:frame="1"/>
            <w:lang w:eastAsia="tr-TR"/>
          </w:rPr>
          <w:t>8.6 Hepatic Insufficiency</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106" w:anchor="section-8.7" w:history="1">
        <w:r w:rsidRPr="0045530E">
          <w:rPr>
            <w:rFonts w:ascii="Arial" w:eastAsia="Times New Roman" w:hAnsi="Arial" w:cs="Arial"/>
            <w:color w:val="1D86BB"/>
            <w:sz w:val="21"/>
            <w:szCs w:val="21"/>
            <w:u w:val="single"/>
            <w:bdr w:val="none" w:sz="0" w:space="0" w:color="auto" w:frame="1"/>
            <w:lang w:eastAsia="tr-TR"/>
          </w:rPr>
          <w:t>8.7 Renal Insufficiency</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107" w:anchor="section-8.8" w:history="1">
        <w:r w:rsidRPr="0045530E">
          <w:rPr>
            <w:rFonts w:ascii="Arial" w:eastAsia="Times New Roman" w:hAnsi="Arial" w:cs="Arial"/>
            <w:color w:val="1D86BB"/>
            <w:sz w:val="21"/>
            <w:szCs w:val="21"/>
            <w:u w:val="single"/>
            <w:bdr w:val="none" w:sz="0" w:space="0" w:color="auto" w:frame="1"/>
            <w:lang w:eastAsia="tr-TR"/>
          </w:rPr>
          <w:t>8.8 Poor Metabolizers of CYP2C9 Substrates</w:t>
        </w:r>
      </w:hyperlink>
    </w:p>
    <w:p w:rsidR="0045530E" w:rsidRPr="0045530E" w:rsidRDefault="0045530E" w:rsidP="0045530E">
      <w:pPr>
        <w:shd w:val="clear" w:color="auto" w:fill="EDF9FF"/>
        <w:spacing w:after="0" w:line="240" w:lineRule="auto"/>
        <w:ind w:left="450"/>
        <w:textAlignment w:val="baseline"/>
        <w:outlineLvl w:val="0"/>
        <w:rPr>
          <w:rFonts w:ascii="Arial" w:eastAsia="Times New Roman" w:hAnsi="Arial" w:cs="Arial"/>
          <w:caps/>
          <w:color w:val="000000"/>
          <w:kern w:val="36"/>
          <w:sz w:val="30"/>
          <w:szCs w:val="30"/>
          <w:lang w:eastAsia="tr-TR"/>
        </w:rPr>
      </w:pPr>
      <w:hyperlink r:id="rId108" w:anchor="section-9" w:history="1">
        <w:r w:rsidRPr="0045530E">
          <w:rPr>
            <w:rFonts w:ascii="Arial" w:eastAsia="Times New Roman" w:hAnsi="Arial" w:cs="Arial"/>
            <w:caps/>
            <w:color w:val="1D86BB"/>
            <w:kern w:val="36"/>
            <w:sz w:val="21"/>
            <w:szCs w:val="21"/>
            <w:u w:val="single"/>
            <w:bdr w:val="none" w:sz="0" w:space="0" w:color="auto" w:frame="1"/>
            <w:lang w:eastAsia="tr-TR"/>
          </w:rPr>
          <w:t>10 OVERDOSAGE</w:t>
        </w:r>
      </w:hyperlink>
    </w:p>
    <w:p w:rsidR="0045530E" w:rsidRPr="0045530E" w:rsidRDefault="0045530E" w:rsidP="0045530E">
      <w:pPr>
        <w:shd w:val="clear" w:color="auto" w:fill="EDF9FF"/>
        <w:spacing w:after="0" w:line="240" w:lineRule="auto"/>
        <w:ind w:left="450"/>
        <w:textAlignment w:val="baseline"/>
        <w:outlineLvl w:val="0"/>
        <w:rPr>
          <w:rFonts w:ascii="Arial" w:eastAsia="Times New Roman" w:hAnsi="Arial" w:cs="Arial"/>
          <w:caps/>
          <w:color w:val="000000"/>
          <w:kern w:val="36"/>
          <w:sz w:val="30"/>
          <w:szCs w:val="30"/>
          <w:lang w:eastAsia="tr-TR"/>
        </w:rPr>
      </w:pPr>
      <w:hyperlink r:id="rId109" w:anchor="section-10" w:history="1">
        <w:r w:rsidRPr="0045530E">
          <w:rPr>
            <w:rFonts w:ascii="Arial" w:eastAsia="Times New Roman" w:hAnsi="Arial" w:cs="Arial"/>
            <w:caps/>
            <w:color w:val="1D86BB"/>
            <w:kern w:val="36"/>
            <w:sz w:val="21"/>
            <w:szCs w:val="21"/>
            <w:u w:val="single"/>
            <w:bdr w:val="none" w:sz="0" w:space="0" w:color="auto" w:frame="1"/>
            <w:lang w:eastAsia="tr-TR"/>
          </w:rPr>
          <w:t>11. DESCRIPTION</w:t>
        </w:r>
      </w:hyperlink>
    </w:p>
    <w:p w:rsidR="0045530E" w:rsidRPr="0045530E" w:rsidRDefault="0045530E" w:rsidP="0045530E">
      <w:pPr>
        <w:shd w:val="clear" w:color="auto" w:fill="EDF9FF"/>
        <w:spacing w:after="0" w:line="240" w:lineRule="auto"/>
        <w:ind w:left="450"/>
        <w:textAlignment w:val="baseline"/>
        <w:outlineLvl w:val="0"/>
        <w:rPr>
          <w:rFonts w:ascii="Arial" w:eastAsia="Times New Roman" w:hAnsi="Arial" w:cs="Arial"/>
          <w:caps/>
          <w:color w:val="000000"/>
          <w:kern w:val="36"/>
          <w:sz w:val="30"/>
          <w:szCs w:val="30"/>
          <w:lang w:eastAsia="tr-TR"/>
        </w:rPr>
      </w:pPr>
      <w:hyperlink r:id="rId110" w:anchor="section-11" w:history="1">
        <w:r w:rsidRPr="0045530E">
          <w:rPr>
            <w:rFonts w:ascii="Arial" w:eastAsia="Times New Roman" w:hAnsi="Arial" w:cs="Arial"/>
            <w:caps/>
            <w:color w:val="1D86BB"/>
            <w:kern w:val="36"/>
            <w:sz w:val="21"/>
            <w:szCs w:val="21"/>
            <w:u w:val="single"/>
            <w:bdr w:val="none" w:sz="0" w:space="0" w:color="auto" w:frame="1"/>
            <w:lang w:eastAsia="tr-TR"/>
          </w:rPr>
          <w:t>12. CLINICAL PHARMACOLOGY</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111" w:anchor="section-11.1" w:history="1">
        <w:r w:rsidRPr="0045530E">
          <w:rPr>
            <w:rFonts w:ascii="Arial" w:eastAsia="Times New Roman" w:hAnsi="Arial" w:cs="Arial"/>
            <w:color w:val="1D86BB"/>
            <w:sz w:val="21"/>
            <w:szCs w:val="21"/>
            <w:u w:val="single"/>
            <w:bdr w:val="none" w:sz="0" w:space="0" w:color="auto" w:frame="1"/>
            <w:lang w:eastAsia="tr-TR"/>
          </w:rPr>
          <w:t>12.1 Mechanism of Action</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112" w:anchor="section-11.2" w:history="1">
        <w:r w:rsidRPr="0045530E">
          <w:rPr>
            <w:rFonts w:ascii="Arial" w:eastAsia="Times New Roman" w:hAnsi="Arial" w:cs="Arial"/>
            <w:color w:val="1D86BB"/>
            <w:sz w:val="21"/>
            <w:szCs w:val="21"/>
            <w:u w:val="single"/>
            <w:bdr w:val="none" w:sz="0" w:space="0" w:color="auto" w:frame="1"/>
            <w:lang w:eastAsia="tr-TR"/>
          </w:rPr>
          <w:t>12.2 Pharmacodynamics</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113" w:anchor="section-11.3" w:history="1">
        <w:r w:rsidRPr="0045530E">
          <w:rPr>
            <w:rFonts w:ascii="Arial" w:eastAsia="Times New Roman" w:hAnsi="Arial" w:cs="Arial"/>
            <w:color w:val="1D86BB"/>
            <w:sz w:val="21"/>
            <w:szCs w:val="21"/>
            <w:u w:val="single"/>
            <w:bdr w:val="none" w:sz="0" w:space="0" w:color="auto" w:frame="1"/>
            <w:lang w:eastAsia="tr-TR"/>
          </w:rPr>
          <w:t>12.3 Pharmacokinetics</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114" w:anchor="section-11.4" w:history="1">
        <w:r w:rsidRPr="0045530E">
          <w:rPr>
            <w:rFonts w:ascii="Arial" w:eastAsia="Times New Roman" w:hAnsi="Arial" w:cs="Arial"/>
            <w:color w:val="1D86BB"/>
            <w:sz w:val="21"/>
            <w:szCs w:val="21"/>
            <w:u w:val="single"/>
            <w:bdr w:val="none" w:sz="0" w:space="0" w:color="auto" w:frame="1"/>
            <w:lang w:eastAsia="tr-TR"/>
          </w:rPr>
          <w:t>12.5 Pharmacogenomics</w:t>
        </w:r>
      </w:hyperlink>
    </w:p>
    <w:p w:rsidR="0045530E" w:rsidRPr="0045530E" w:rsidRDefault="0045530E" w:rsidP="0045530E">
      <w:pPr>
        <w:shd w:val="clear" w:color="auto" w:fill="EDF9FF"/>
        <w:spacing w:after="0" w:line="240" w:lineRule="auto"/>
        <w:ind w:left="450"/>
        <w:textAlignment w:val="baseline"/>
        <w:outlineLvl w:val="0"/>
        <w:rPr>
          <w:rFonts w:ascii="Arial" w:eastAsia="Times New Roman" w:hAnsi="Arial" w:cs="Arial"/>
          <w:caps/>
          <w:color w:val="000000"/>
          <w:kern w:val="36"/>
          <w:sz w:val="30"/>
          <w:szCs w:val="30"/>
          <w:lang w:eastAsia="tr-TR"/>
        </w:rPr>
      </w:pPr>
      <w:hyperlink r:id="rId115" w:anchor="section-12" w:history="1">
        <w:r w:rsidRPr="0045530E">
          <w:rPr>
            <w:rFonts w:ascii="Arial" w:eastAsia="Times New Roman" w:hAnsi="Arial" w:cs="Arial"/>
            <w:caps/>
            <w:color w:val="1D86BB"/>
            <w:kern w:val="36"/>
            <w:sz w:val="21"/>
            <w:szCs w:val="21"/>
            <w:u w:val="single"/>
            <w:bdr w:val="none" w:sz="0" w:space="0" w:color="auto" w:frame="1"/>
            <w:lang w:eastAsia="tr-TR"/>
          </w:rPr>
          <w:t>13. NONCLINICAL TOXICOLOGY</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116" w:anchor="section-12.1" w:history="1">
        <w:r w:rsidRPr="0045530E">
          <w:rPr>
            <w:rFonts w:ascii="Arial" w:eastAsia="Times New Roman" w:hAnsi="Arial" w:cs="Arial"/>
            <w:color w:val="1D86BB"/>
            <w:sz w:val="21"/>
            <w:szCs w:val="21"/>
            <w:u w:val="single"/>
            <w:bdr w:val="none" w:sz="0" w:space="0" w:color="auto" w:frame="1"/>
            <w:lang w:eastAsia="tr-TR"/>
          </w:rPr>
          <w:t>13.1 Carcinogenesis, Mutagenesis, Impairment of Fertility</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117" w:anchor="section-12.2" w:history="1">
        <w:r w:rsidRPr="0045530E">
          <w:rPr>
            <w:rFonts w:ascii="Arial" w:eastAsia="Times New Roman" w:hAnsi="Arial" w:cs="Arial"/>
            <w:color w:val="1D86BB"/>
            <w:sz w:val="21"/>
            <w:szCs w:val="21"/>
            <w:u w:val="single"/>
            <w:bdr w:val="none" w:sz="0" w:space="0" w:color="auto" w:frame="1"/>
            <w:lang w:eastAsia="tr-TR"/>
          </w:rPr>
          <w:t>13.2 Animal Toxicology</w:t>
        </w:r>
      </w:hyperlink>
    </w:p>
    <w:p w:rsidR="0045530E" w:rsidRPr="0045530E" w:rsidRDefault="0045530E" w:rsidP="0045530E">
      <w:pPr>
        <w:shd w:val="clear" w:color="auto" w:fill="EDF9FF"/>
        <w:spacing w:after="0" w:line="240" w:lineRule="auto"/>
        <w:ind w:left="450"/>
        <w:textAlignment w:val="baseline"/>
        <w:outlineLvl w:val="0"/>
        <w:rPr>
          <w:rFonts w:ascii="Arial" w:eastAsia="Times New Roman" w:hAnsi="Arial" w:cs="Arial"/>
          <w:caps/>
          <w:color w:val="000000"/>
          <w:kern w:val="36"/>
          <w:sz w:val="30"/>
          <w:szCs w:val="30"/>
          <w:lang w:eastAsia="tr-TR"/>
        </w:rPr>
      </w:pPr>
      <w:hyperlink r:id="rId118" w:anchor="section-13" w:history="1">
        <w:r w:rsidRPr="0045530E">
          <w:rPr>
            <w:rFonts w:ascii="Arial" w:eastAsia="Times New Roman" w:hAnsi="Arial" w:cs="Arial"/>
            <w:caps/>
            <w:color w:val="1D86BB"/>
            <w:kern w:val="36"/>
            <w:sz w:val="21"/>
            <w:szCs w:val="21"/>
            <w:u w:val="single"/>
            <w:bdr w:val="none" w:sz="0" w:space="0" w:color="auto" w:frame="1"/>
            <w:lang w:eastAsia="tr-TR"/>
          </w:rPr>
          <w:t>14. CLINICAL STUDIES</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119" w:anchor="section-13.1" w:history="1">
        <w:r w:rsidRPr="0045530E">
          <w:rPr>
            <w:rFonts w:ascii="Arial" w:eastAsia="Times New Roman" w:hAnsi="Arial" w:cs="Arial"/>
            <w:color w:val="1D86BB"/>
            <w:sz w:val="21"/>
            <w:szCs w:val="21"/>
            <w:u w:val="single"/>
            <w:bdr w:val="none" w:sz="0" w:space="0" w:color="auto" w:frame="1"/>
            <w:lang w:eastAsia="tr-TR"/>
          </w:rPr>
          <w:t>14.1 Osteoarthritis</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120" w:anchor="section-13.2" w:history="1">
        <w:r w:rsidRPr="0045530E">
          <w:rPr>
            <w:rFonts w:ascii="Arial" w:eastAsia="Times New Roman" w:hAnsi="Arial" w:cs="Arial"/>
            <w:color w:val="1D86BB"/>
            <w:sz w:val="21"/>
            <w:szCs w:val="21"/>
            <w:u w:val="single"/>
            <w:bdr w:val="none" w:sz="0" w:space="0" w:color="auto" w:frame="1"/>
            <w:lang w:eastAsia="tr-TR"/>
          </w:rPr>
          <w:t>14.2 Rheumatoid Arthritis</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121" w:anchor="section-13.3" w:history="1">
        <w:r w:rsidRPr="0045530E">
          <w:rPr>
            <w:rFonts w:ascii="Arial" w:eastAsia="Times New Roman" w:hAnsi="Arial" w:cs="Arial"/>
            <w:color w:val="1D86BB"/>
            <w:sz w:val="21"/>
            <w:szCs w:val="21"/>
            <w:u w:val="single"/>
            <w:bdr w:val="none" w:sz="0" w:space="0" w:color="auto" w:frame="1"/>
            <w:lang w:eastAsia="tr-TR"/>
          </w:rPr>
          <w:t>14.3 Juvenile Rheumatoid Arthritis</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122" w:anchor="section-13.4" w:history="1">
        <w:r w:rsidRPr="0045530E">
          <w:rPr>
            <w:rFonts w:ascii="Arial" w:eastAsia="Times New Roman" w:hAnsi="Arial" w:cs="Arial"/>
            <w:color w:val="1D86BB"/>
            <w:sz w:val="21"/>
            <w:szCs w:val="21"/>
            <w:u w:val="single"/>
            <w:bdr w:val="none" w:sz="0" w:space="0" w:color="auto" w:frame="1"/>
            <w:lang w:eastAsia="tr-TR"/>
          </w:rPr>
          <w:t>14.4 Ankylosing Spondylitis</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123" w:anchor="section-13.5" w:history="1">
        <w:r w:rsidRPr="0045530E">
          <w:rPr>
            <w:rFonts w:ascii="Arial" w:eastAsia="Times New Roman" w:hAnsi="Arial" w:cs="Arial"/>
            <w:color w:val="1D86BB"/>
            <w:sz w:val="21"/>
            <w:szCs w:val="21"/>
            <w:u w:val="single"/>
            <w:bdr w:val="none" w:sz="0" w:space="0" w:color="auto" w:frame="1"/>
            <w:lang w:eastAsia="tr-TR"/>
          </w:rPr>
          <w:t>14.5 Analgesia, including Primary Dysmenorrhea</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124" w:anchor="section-13.6" w:history="1">
        <w:r w:rsidRPr="0045530E">
          <w:rPr>
            <w:rFonts w:ascii="Arial" w:eastAsia="Times New Roman" w:hAnsi="Arial" w:cs="Arial"/>
            <w:color w:val="1D86BB"/>
            <w:sz w:val="21"/>
            <w:szCs w:val="21"/>
            <w:u w:val="single"/>
            <w:bdr w:val="none" w:sz="0" w:space="0" w:color="auto" w:frame="1"/>
            <w:lang w:eastAsia="tr-TR"/>
          </w:rPr>
          <w:t>14.6 Special Studies</w:t>
        </w:r>
      </w:hyperlink>
    </w:p>
    <w:p w:rsidR="0045530E" w:rsidRPr="0045530E" w:rsidRDefault="0045530E" w:rsidP="0045530E">
      <w:pPr>
        <w:shd w:val="clear" w:color="auto" w:fill="EDF9FF"/>
        <w:spacing w:after="0" w:line="240" w:lineRule="auto"/>
        <w:ind w:left="450"/>
        <w:textAlignment w:val="baseline"/>
        <w:outlineLvl w:val="0"/>
        <w:rPr>
          <w:rFonts w:ascii="Arial" w:eastAsia="Times New Roman" w:hAnsi="Arial" w:cs="Arial"/>
          <w:caps/>
          <w:color w:val="000000"/>
          <w:kern w:val="36"/>
          <w:sz w:val="30"/>
          <w:szCs w:val="30"/>
          <w:lang w:eastAsia="tr-TR"/>
        </w:rPr>
      </w:pPr>
      <w:hyperlink r:id="rId125" w:anchor="section-14" w:history="1">
        <w:r w:rsidRPr="0045530E">
          <w:rPr>
            <w:rFonts w:ascii="Arial" w:eastAsia="Times New Roman" w:hAnsi="Arial" w:cs="Arial"/>
            <w:caps/>
            <w:color w:val="1D86BB"/>
            <w:kern w:val="36"/>
            <w:sz w:val="21"/>
            <w:szCs w:val="21"/>
            <w:u w:val="single"/>
            <w:bdr w:val="none" w:sz="0" w:space="0" w:color="auto" w:frame="1"/>
            <w:lang w:eastAsia="tr-TR"/>
          </w:rPr>
          <w:t>16. HOW SUPPLIED/STORAGE AND HANDLING</w:t>
        </w:r>
      </w:hyperlink>
    </w:p>
    <w:p w:rsidR="0045530E" w:rsidRPr="0045530E" w:rsidRDefault="0045530E" w:rsidP="0045530E">
      <w:pPr>
        <w:shd w:val="clear" w:color="auto" w:fill="EDF9FF"/>
        <w:spacing w:after="0" w:line="240" w:lineRule="auto"/>
        <w:ind w:left="450"/>
        <w:textAlignment w:val="baseline"/>
        <w:outlineLvl w:val="0"/>
        <w:rPr>
          <w:rFonts w:ascii="Arial" w:eastAsia="Times New Roman" w:hAnsi="Arial" w:cs="Arial"/>
          <w:caps/>
          <w:color w:val="000000"/>
          <w:kern w:val="36"/>
          <w:sz w:val="30"/>
          <w:szCs w:val="30"/>
          <w:lang w:eastAsia="tr-TR"/>
        </w:rPr>
      </w:pPr>
      <w:hyperlink r:id="rId126" w:anchor="section-15" w:history="1">
        <w:r w:rsidRPr="0045530E">
          <w:rPr>
            <w:rFonts w:ascii="Arial" w:eastAsia="Times New Roman" w:hAnsi="Arial" w:cs="Arial"/>
            <w:caps/>
            <w:color w:val="1D86BB"/>
            <w:kern w:val="36"/>
            <w:sz w:val="21"/>
            <w:szCs w:val="21"/>
            <w:u w:val="single"/>
            <w:bdr w:val="none" w:sz="0" w:space="0" w:color="auto" w:frame="1"/>
            <w:lang w:eastAsia="tr-TR"/>
          </w:rPr>
          <w:t>17. PATIENT COUNSELING INFORMATION</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127" w:anchor="section-15.1" w:history="1">
        <w:r w:rsidRPr="0045530E">
          <w:rPr>
            <w:rFonts w:ascii="Arial" w:eastAsia="Times New Roman" w:hAnsi="Arial" w:cs="Arial"/>
            <w:color w:val="1D86BB"/>
            <w:sz w:val="21"/>
            <w:szCs w:val="21"/>
            <w:u w:val="single"/>
            <w:bdr w:val="none" w:sz="0" w:space="0" w:color="auto" w:frame="1"/>
            <w:lang w:eastAsia="tr-TR"/>
          </w:rPr>
          <w:t>17.1 Medication Guide</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128" w:anchor="section-15.2" w:history="1">
        <w:r w:rsidRPr="0045530E">
          <w:rPr>
            <w:rFonts w:ascii="Arial" w:eastAsia="Times New Roman" w:hAnsi="Arial" w:cs="Arial"/>
            <w:color w:val="1D86BB"/>
            <w:sz w:val="21"/>
            <w:szCs w:val="21"/>
            <w:u w:val="single"/>
            <w:bdr w:val="none" w:sz="0" w:space="0" w:color="auto" w:frame="1"/>
            <w:lang w:eastAsia="tr-TR"/>
          </w:rPr>
          <w:t>17.2 Cardiovascular Effects</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129" w:anchor="section-15.3" w:history="1">
        <w:r w:rsidRPr="0045530E">
          <w:rPr>
            <w:rFonts w:ascii="Arial" w:eastAsia="Times New Roman" w:hAnsi="Arial" w:cs="Arial"/>
            <w:color w:val="1D86BB"/>
            <w:sz w:val="21"/>
            <w:szCs w:val="21"/>
            <w:u w:val="single"/>
            <w:bdr w:val="none" w:sz="0" w:space="0" w:color="auto" w:frame="1"/>
            <w:lang w:eastAsia="tr-TR"/>
          </w:rPr>
          <w:t>17.3 Gastrointestinal Effects</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130" w:anchor="section-15.4" w:history="1">
        <w:r w:rsidRPr="0045530E">
          <w:rPr>
            <w:rFonts w:ascii="Arial" w:eastAsia="Times New Roman" w:hAnsi="Arial" w:cs="Arial"/>
            <w:color w:val="1D86BB"/>
            <w:sz w:val="21"/>
            <w:szCs w:val="21"/>
            <w:u w:val="single"/>
            <w:bdr w:val="none" w:sz="0" w:space="0" w:color="auto" w:frame="1"/>
            <w:lang w:eastAsia="tr-TR"/>
          </w:rPr>
          <w:t>17.4 Hepatic Effects</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131" w:anchor="section-15.5" w:history="1">
        <w:r w:rsidRPr="0045530E">
          <w:rPr>
            <w:rFonts w:ascii="Arial" w:eastAsia="Times New Roman" w:hAnsi="Arial" w:cs="Arial"/>
            <w:color w:val="1D86BB"/>
            <w:sz w:val="21"/>
            <w:szCs w:val="21"/>
            <w:u w:val="single"/>
            <w:bdr w:val="none" w:sz="0" w:space="0" w:color="auto" w:frame="1"/>
            <w:lang w:eastAsia="tr-TR"/>
          </w:rPr>
          <w:t>17.5 Adverse Skin Reactions</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132" w:anchor="section-15.6" w:history="1">
        <w:r w:rsidRPr="0045530E">
          <w:rPr>
            <w:rFonts w:ascii="Arial" w:eastAsia="Times New Roman" w:hAnsi="Arial" w:cs="Arial"/>
            <w:color w:val="1D86BB"/>
            <w:sz w:val="21"/>
            <w:szCs w:val="21"/>
            <w:u w:val="single"/>
            <w:bdr w:val="none" w:sz="0" w:space="0" w:color="auto" w:frame="1"/>
            <w:lang w:eastAsia="tr-TR"/>
          </w:rPr>
          <w:t>17.6 Weight Gain and Edema</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133" w:anchor="section-15.7" w:history="1">
        <w:r w:rsidRPr="0045530E">
          <w:rPr>
            <w:rFonts w:ascii="Arial" w:eastAsia="Times New Roman" w:hAnsi="Arial" w:cs="Arial"/>
            <w:color w:val="1D86BB"/>
            <w:sz w:val="21"/>
            <w:szCs w:val="21"/>
            <w:u w:val="single"/>
            <w:bdr w:val="none" w:sz="0" w:space="0" w:color="auto" w:frame="1"/>
            <w:lang w:eastAsia="tr-TR"/>
          </w:rPr>
          <w:t>17.7 Anaphylactoid Reactions</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134" w:anchor="section-15.8" w:history="1">
        <w:r w:rsidRPr="0045530E">
          <w:rPr>
            <w:rFonts w:ascii="Arial" w:eastAsia="Times New Roman" w:hAnsi="Arial" w:cs="Arial"/>
            <w:color w:val="1D86BB"/>
            <w:sz w:val="21"/>
            <w:szCs w:val="21"/>
            <w:u w:val="single"/>
            <w:bdr w:val="none" w:sz="0" w:space="0" w:color="auto" w:frame="1"/>
            <w:lang w:eastAsia="tr-TR"/>
          </w:rPr>
          <w:t>17.8 Effects During Pregnancy</w:t>
        </w:r>
      </w:hyperlink>
    </w:p>
    <w:p w:rsidR="0045530E" w:rsidRPr="0045530E" w:rsidRDefault="0045530E" w:rsidP="0045530E">
      <w:pPr>
        <w:shd w:val="clear" w:color="auto" w:fill="EDF9FF"/>
        <w:spacing w:after="0" w:line="240" w:lineRule="auto"/>
        <w:ind w:left="675"/>
        <w:textAlignment w:val="baseline"/>
        <w:outlineLvl w:val="1"/>
        <w:rPr>
          <w:rFonts w:ascii="Arial" w:eastAsia="Times New Roman" w:hAnsi="Arial" w:cs="Arial"/>
          <w:caps/>
          <w:color w:val="F89025"/>
          <w:sz w:val="39"/>
          <w:szCs w:val="39"/>
          <w:lang w:eastAsia="tr-TR"/>
        </w:rPr>
      </w:pPr>
      <w:hyperlink r:id="rId135" w:anchor="section-15.9" w:history="1">
        <w:r w:rsidRPr="0045530E">
          <w:rPr>
            <w:rFonts w:ascii="Arial" w:eastAsia="Times New Roman" w:hAnsi="Arial" w:cs="Arial"/>
            <w:color w:val="1D86BB"/>
            <w:sz w:val="21"/>
            <w:szCs w:val="21"/>
            <w:u w:val="single"/>
            <w:bdr w:val="none" w:sz="0" w:space="0" w:color="auto" w:frame="1"/>
            <w:lang w:eastAsia="tr-TR"/>
          </w:rPr>
          <w:t>17.9 Preexisting Asthma</w:t>
        </w:r>
      </w:hyperlink>
    </w:p>
    <w:bookmarkStart w:id="2" w:name="footnote-content"/>
    <w:p w:rsidR="0045530E" w:rsidRPr="0045530E" w:rsidRDefault="0045530E" w:rsidP="0045530E">
      <w:pPr>
        <w:shd w:val="clear" w:color="auto" w:fill="EDF9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fldChar w:fldCharType="begin"/>
      </w:r>
      <w:r w:rsidRPr="0045530E">
        <w:rPr>
          <w:rFonts w:ascii="inherit" w:eastAsia="Times New Roman" w:hAnsi="inherit" w:cs="Arial"/>
          <w:color w:val="222222"/>
          <w:sz w:val="21"/>
          <w:szCs w:val="21"/>
          <w:lang w:eastAsia="tr-TR"/>
        </w:rPr>
        <w:instrText xml:space="preserve"> HYPERLINK "https://dailymed.nlm.nih.gov/dailymed/drugInfo.cfm?setid=a2d75d7d-a6d0-4489-85f7-a57c237ba5e2" \l "footnote-reference-content" </w:instrText>
      </w:r>
      <w:r w:rsidRPr="0045530E">
        <w:rPr>
          <w:rFonts w:ascii="inherit" w:eastAsia="Times New Roman" w:hAnsi="inherit" w:cs="Arial"/>
          <w:color w:val="222222"/>
          <w:sz w:val="21"/>
          <w:szCs w:val="21"/>
          <w:lang w:eastAsia="tr-TR"/>
        </w:rPr>
        <w:fldChar w:fldCharType="separate"/>
      </w:r>
      <w:r w:rsidRPr="0045530E">
        <w:rPr>
          <w:rFonts w:ascii="inherit" w:eastAsia="Times New Roman" w:hAnsi="inherit" w:cs="Arial"/>
          <w:caps/>
          <w:color w:val="000000"/>
          <w:sz w:val="30"/>
          <w:szCs w:val="30"/>
          <w:u w:val="single"/>
          <w:bdr w:val="none" w:sz="0" w:space="0" w:color="auto" w:frame="1"/>
          <w:lang w:eastAsia="tr-TR"/>
        </w:rPr>
        <w:t>*</w:t>
      </w:r>
      <w:r w:rsidRPr="0045530E">
        <w:rPr>
          <w:rFonts w:ascii="inherit" w:eastAsia="Times New Roman" w:hAnsi="inherit" w:cs="Arial"/>
          <w:color w:val="222222"/>
          <w:sz w:val="21"/>
          <w:szCs w:val="21"/>
          <w:lang w:eastAsia="tr-TR"/>
        </w:rPr>
        <w:fldChar w:fldCharType="end"/>
      </w:r>
      <w:bookmarkEnd w:id="2"/>
    </w:p>
    <w:p w:rsidR="0045530E" w:rsidRPr="0045530E" w:rsidRDefault="0045530E" w:rsidP="0045530E">
      <w:pPr>
        <w:shd w:val="clear" w:color="auto" w:fill="EDF9FF"/>
        <w:spacing w:after="0" w:line="240" w:lineRule="auto"/>
        <w:ind w:left="117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Sections or subsections omitted from the full prescribing information are not listed.</w:t>
      </w:r>
    </w:p>
    <w:p w:rsidR="0045530E" w:rsidRPr="0045530E" w:rsidRDefault="0045530E" w:rsidP="0045530E">
      <w:pPr>
        <w:shd w:val="clear" w:color="auto" w:fill="EDF9FF"/>
        <w:spacing w:after="75" w:line="240" w:lineRule="auto"/>
        <w:ind w:left="450"/>
        <w:textAlignment w:val="baseline"/>
        <w:rPr>
          <w:rFonts w:ascii="inherit" w:eastAsia="Times New Roman" w:hAnsi="inherit" w:cs="Arial"/>
          <w:color w:val="222222"/>
          <w:sz w:val="21"/>
          <w:szCs w:val="21"/>
          <w:lang w:eastAsia="tr-TR"/>
        </w:rPr>
      </w:pPr>
      <w:hyperlink r:id="rId136" w:history="1">
        <w:r w:rsidRPr="0045530E">
          <w:rPr>
            <w:rFonts w:ascii="Arial" w:eastAsia="Times New Roman" w:hAnsi="Arial" w:cs="Arial"/>
            <w:caps/>
            <w:color w:val="1D86BB"/>
            <w:sz w:val="18"/>
            <w:szCs w:val="18"/>
            <w:u w:val="single"/>
            <w:bdr w:val="none" w:sz="0" w:space="0" w:color="auto" w:frame="1"/>
            <w:lang w:eastAsia="tr-TR"/>
          </w:rPr>
          <w:t>CLOSE</w:t>
        </w:r>
      </w:hyperlink>
    </w:p>
    <w:p w:rsidR="0045530E" w:rsidRPr="0045530E" w:rsidRDefault="0045530E" w:rsidP="0045530E">
      <w:pPr>
        <w:numPr>
          <w:ilvl w:val="0"/>
          <w:numId w:val="9"/>
        </w:numPr>
        <w:shd w:val="clear" w:color="auto" w:fill="FFFFFF"/>
        <w:spacing w:after="0" w:line="240" w:lineRule="auto"/>
        <w:ind w:left="0"/>
        <w:textAlignment w:val="baseline"/>
        <w:rPr>
          <w:rFonts w:ascii="inherit" w:eastAsia="Times New Roman" w:hAnsi="inherit" w:cs="Arial"/>
          <w:color w:val="222222"/>
          <w:sz w:val="21"/>
          <w:szCs w:val="21"/>
          <w:lang w:eastAsia="tr-TR"/>
        </w:rPr>
      </w:pPr>
      <w:hyperlink r:id="rId137" w:history="1">
        <w:r w:rsidRPr="0045530E">
          <w:rPr>
            <w:rFonts w:ascii="Arial" w:eastAsia="Times New Roman" w:hAnsi="Arial" w:cs="Arial"/>
            <w:caps/>
            <w:color w:val="000000"/>
            <w:sz w:val="30"/>
            <w:szCs w:val="30"/>
            <w:u w:val="single"/>
            <w:bdr w:val="none" w:sz="0" w:space="0" w:color="auto" w:frame="1"/>
            <w:lang w:eastAsia="tr-TR"/>
          </w:rPr>
          <w:t>1. INDICATIONS AND USAGE</w:t>
        </w:r>
      </w:hyperlink>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bookmarkStart w:id="3" w:name="L2b227848-a25d-49b9-95e4-4c2b7b7668f6"/>
      <w:bookmarkStart w:id="4" w:name="section-1"/>
      <w:bookmarkEnd w:id="3"/>
      <w:bookmarkEnd w:id="4"/>
      <w:r w:rsidRPr="0045530E">
        <w:rPr>
          <w:rFonts w:ascii="inherit" w:eastAsia="Times New Roman" w:hAnsi="inherit" w:cs="Arial"/>
          <w:color w:val="222222"/>
          <w:sz w:val="21"/>
          <w:szCs w:val="21"/>
          <w:lang w:eastAsia="tr-TR"/>
        </w:rPr>
        <w:t>Carefully consider the potential benefits and risks of celecoxib and other treatment options before deciding to use celecoxib. Use the lowest effective dose for the shortest duration consistent with individual patient treatment goals [see Warnings and Precautions (5)]</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5" w:name="Lcbd70c3c-8e54-454b-98bb-a42acb762b80"/>
      <w:bookmarkStart w:id="6" w:name="section-1.1"/>
      <w:bookmarkEnd w:id="5"/>
      <w:bookmarkEnd w:id="6"/>
      <w:r w:rsidRPr="0045530E">
        <w:rPr>
          <w:rFonts w:ascii="inherit" w:eastAsia="Times New Roman" w:hAnsi="inherit" w:cs="Arial"/>
          <w:b/>
          <w:bCs/>
          <w:color w:val="222222"/>
          <w:sz w:val="36"/>
          <w:szCs w:val="36"/>
          <w:lang w:eastAsia="tr-TR"/>
        </w:rPr>
        <w:t>1.1 Osteoarthritis (OA)</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Celecoxib is inCelecoxib is indicated for relief of the signs and symptoms of OA </w:t>
      </w:r>
      <w:r w:rsidRPr="0045530E">
        <w:rPr>
          <w:rFonts w:ascii="inherit" w:eastAsia="Times New Roman" w:hAnsi="inherit" w:cs="Arial"/>
          <w:i/>
          <w:iCs/>
          <w:color w:val="222222"/>
          <w:sz w:val="21"/>
          <w:szCs w:val="21"/>
          <w:bdr w:val="none" w:sz="0" w:space="0" w:color="auto" w:frame="1"/>
          <w:lang w:eastAsia="tr-TR"/>
        </w:rPr>
        <w:t>[see Clinical Studies (</w:t>
      </w:r>
      <w:proofErr w:type="gramStart"/>
      <w:r w:rsidRPr="0045530E">
        <w:rPr>
          <w:rFonts w:ascii="inherit" w:eastAsia="Times New Roman" w:hAnsi="inherit" w:cs="Arial"/>
          <w:i/>
          <w:iCs/>
          <w:color w:val="222222"/>
          <w:sz w:val="21"/>
          <w:szCs w:val="21"/>
          <w:bdr w:val="none" w:sz="0" w:space="0" w:color="auto" w:frame="1"/>
          <w:lang w:eastAsia="tr-TR"/>
        </w:rPr>
        <w:t>14.1</w:t>
      </w:r>
      <w:proofErr w:type="gramEnd"/>
      <w:r w:rsidRPr="0045530E">
        <w:rPr>
          <w:rFonts w:ascii="inherit" w:eastAsia="Times New Roman" w:hAnsi="inherit" w:cs="Arial"/>
          <w:i/>
          <w:iCs/>
          <w:color w:val="222222"/>
          <w:sz w:val="21"/>
          <w:szCs w:val="21"/>
          <w:bdr w:val="none" w:sz="0" w:space="0" w:color="auto" w:frame="1"/>
          <w:lang w:eastAsia="tr-TR"/>
        </w:rPr>
        <w:t>)]</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7" w:name="L75882687-9045-48da-b13f-5df4592d45ca"/>
      <w:bookmarkStart w:id="8" w:name="section-1.2"/>
      <w:bookmarkEnd w:id="7"/>
      <w:bookmarkEnd w:id="8"/>
      <w:r w:rsidRPr="0045530E">
        <w:rPr>
          <w:rFonts w:ascii="inherit" w:eastAsia="Times New Roman" w:hAnsi="inherit" w:cs="Arial"/>
          <w:b/>
          <w:bCs/>
          <w:color w:val="222222"/>
          <w:sz w:val="36"/>
          <w:szCs w:val="36"/>
          <w:lang w:eastAsia="tr-TR"/>
        </w:rPr>
        <w:t>1.2 Rheumatoid Arthritis (RA)</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Celecoxib is indicated for relief of the signs and symptoms of RA </w:t>
      </w:r>
      <w:r w:rsidRPr="0045530E">
        <w:rPr>
          <w:rFonts w:ascii="inherit" w:eastAsia="Times New Roman" w:hAnsi="inherit" w:cs="Arial"/>
          <w:i/>
          <w:iCs/>
          <w:color w:val="222222"/>
          <w:sz w:val="21"/>
          <w:szCs w:val="21"/>
          <w:bdr w:val="none" w:sz="0" w:space="0" w:color="auto" w:frame="1"/>
          <w:lang w:eastAsia="tr-TR"/>
        </w:rPr>
        <w:t>[see Clinical Studies (</w:t>
      </w:r>
      <w:proofErr w:type="gramStart"/>
      <w:r w:rsidRPr="0045530E">
        <w:rPr>
          <w:rFonts w:ascii="inherit" w:eastAsia="Times New Roman" w:hAnsi="inherit" w:cs="Arial"/>
          <w:i/>
          <w:iCs/>
          <w:color w:val="222222"/>
          <w:sz w:val="21"/>
          <w:szCs w:val="21"/>
          <w:bdr w:val="none" w:sz="0" w:space="0" w:color="auto" w:frame="1"/>
          <w:lang w:eastAsia="tr-TR"/>
        </w:rPr>
        <w:t>14.2</w:t>
      </w:r>
      <w:proofErr w:type="gramEnd"/>
      <w:r w:rsidRPr="0045530E">
        <w:rPr>
          <w:rFonts w:ascii="inherit" w:eastAsia="Times New Roman" w:hAnsi="inherit" w:cs="Arial"/>
          <w:i/>
          <w:iCs/>
          <w:color w:val="222222"/>
          <w:sz w:val="21"/>
          <w:szCs w:val="21"/>
          <w:bdr w:val="none" w:sz="0" w:space="0" w:color="auto" w:frame="1"/>
          <w:lang w:eastAsia="tr-TR"/>
        </w:rPr>
        <w:t>)]</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9" w:name="L1d1c72b1-2da6-4302-bf42-e296eb5acf3b"/>
      <w:bookmarkStart w:id="10" w:name="section-1.3"/>
      <w:bookmarkEnd w:id="9"/>
      <w:bookmarkEnd w:id="10"/>
      <w:r w:rsidRPr="0045530E">
        <w:rPr>
          <w:rFonts w:ascii="inherit" w:eastAsia="Times New Roman" w:hAnsi="inherit" w:cs="Arial"/>
          <w:b/>
          <w:bCs/>
          <w:color w:val="222222"/>
          <w:sz w:val="36"/>
          <w:szCs w:val="36"/>
          <w:lang w:eastAsia="tr-TR"/>
        </w:rPr>
        <w:t>1.3 Juvenile Rheumatoid Arthritis (JRA)</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Celecoxib is indicated for relief of the signs and symptoms of JRA in patients 2 years and older </w:t>
      </w:r>
      <w:r w:rsidRPr="0045530E">
        <w:rPr>
          <w:rFonts w:ascii="inherit" w:eastAsia="Times New Roman" w:hAnsi="inherit" w:cs="Arial"/>
          <w:i/>
          <w:iCs/>
          <w:color w:val="222222"/>
          <w:sz w:val="21"/>
          <w:szCs w:val="21"/>
          <w:bdr w:val="none" w:sz="0" w:space="0" w:color="auto" w:frame="1"/>
          <w:lang w:eastAsia="tr-TR"/>
        </w:rPr>
        <w:t>[see Clinical Studies (</w:t>
      </w:r>
      <w:proofErr w:type="gramStart"/>
      <w:r w:rsidRPr="0045530E">
        <w:rPr>
          <w:rFonts w:ascii="inherit" w:eastAsia="Times New Roman" w:hAnsi="inherit" w:cs="Arial"/>
          <w:i/>
          <w:iCs/>
          <w:color w:val="222222"/>
          <w:sz w:val="21"/>
          <w:szCs w:val="21"/>
          <w:bdr w:val="none" w:sz="0" w:space="0" w:color="auto" w:frame="1"/>
          <w:lang w:eastAsia="tr-TR"/>
        </w:rPr>
        <w:t>14.3</w:t>
      </w:r>
      <w:proofErr w:type="gramEnd"/>
      <w:r w:rsidRPr="0045530E">
        <w:rPr>
          <w:rFonts w:ascii="inherit" w:eastAsia="Times New Roman" w:hAnsi="inherit" w:cs="Arial"/>
          <w:i/>
          <w:iCs/>
          <w:color w:val="222222"/>
          <w:sz w:val="21"/>
          <w:szCs w:val="21"/>
          <w:bdr w:val="none" w:sz="0" w:space="0" w:color="auto" w:frame="1"/>
          <w:lang w:eastAsia="tr-TR"/>
        </w:rPr>
        <w:t>)]</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11" w:name="L08833eb4-1f8e-45ec-b73d-f126d0719a65"/>
      <w:bookmarkStart w:id="12" w:name="section-1.4"/>
      <w:bookmarkEnd w:id="11"/>
      <w:bookmarkEnd w:id="12"/>
      <w:r w:rsidRPr="0045530E">
        <w:rPr>
          <w:rFonts w:ascii="inherit" w:eastAsia="Times New Roman" w:hAnsi="inherit" w:cs="Arial"/>
          <w:b/>
          <w:bCs/>
          <w:color w:val="222222"/>
          <w:sz w:val="36"/>
          <w:szCs w:val="36"/>
          <w:lang w:eastAsia="tr-TR"/>
        </w:rPr>
        <w:t>1.4 Ankylosing Spondylitis (AS)</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Celecoxib is indicated for the relief of signs and symptoms of AS </w:t>
      </w:r>
      <w:r w:rsidRPr="0045530E">
        <w:rPr>
          <w:rFonts w:ascii="inherit" w:eastAsia="Times New Roman" w:hAnsi="inherit" w:cs="Arial"/>
          <w:i/>
          <w:iCs/>
          <w:color w:val="222222"/>
          <w:sz w:val="21"/>
          <w:szCs w:val="21"/>
          <w:bdr w:val="none" w:sz="0" w:space="0" w:color="auto" w:frame="1"/>
          <w:lang w:eastAsia="tr-TR"/>
        </w:rPr>
        <w:t>[see Clinical Studies (</w:t>
      </w:r>
      <w:proofErr w:type="gramStart"/>
      <w:r w:rsidRPr="0045530E">
        <w:rPr>
          <w:rFonts w:ascii="inherit" w:eastAsia="Times New Roman" w:hAnsi="inherit" w:cs="Arial"/>
          <w:i/>
          <w:iCs/>
          <w:color w:val="222222"/>
          <w:sz w:val="21"/>
          <w:szCs w:val="21"/>
          <w:bdr w:val="none" w:sz="0" w:space="0" w:color="auto" w:frame="1"/>
          <w:lang w:eastAsia="tr-TR"/>
        </w:rPr>
        <w:t>14.4</w:t>
      </w:r>
      <w:proofErr w:type="gramEnd"/>
      <w:r w:rsidRPr="0045530E">
        <w:rPr>
          <w:rFonts w:ascii="inherit" w:eastAsia="Times New Roman" w:hAnsi="inherit" w:cs="Arial"/>
          <w:i/>
          <w:iCs/>
          <w:color w:val="222222"/>
          <w:sz w:val="21"/>
          <w:szCs w:val="21"/>
          <w:bdr w:val="none" w:sz="0" w:space="0" w:color="auto" w:frame="1"/>
          <w:lang w:eastAsia="tr-TR"/>
        </w:rPr>
        <w:t>)]</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13" w:name="L8b97f250-f84b-4aa8-a5c8-fab7e75f5f59"/>
      <w:bookmarkStart w:id="14" w:name="section-1.5"/>
      <w:bookmarkEnd w:id="13"/>
      <w:bookmarkEnd w:id="14"/>
      <w:r w:rsidRPr="0045530E">
        <w:rPr>
          <w:rFonts w:ascii="inherit" w:eastAsia="Times New Roman" w:hAnsi="inherit" w:cs="Arial"/>
          <w:b/>
          <w:bCs/>
          <w:color w:val="222222"/>
          <w:sz w:val="36"/>
          <w:szCs w:val="36"/>
          <w:lang w:eastAsia="tr-TR"/>
        </w:rPr>
        <w:t>1.5 Acute Pain (AP)</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Celecoxib is indicated for the management of AP in adults</w:t>
      </w:r>
      <w:r w:rsidRPr="0045530E">
        <w:rPr>
          <w:rFonts w:ascii="inherit" w:eastAsia="Times New Roman" w:hAnsi="inherit" w:cs="Arial"/>
          <w:i/>
          <w:iCs/>
          <w:color w:val="222222"/>
          <w:sz w:val="21"/>
          <w:szCs w:val="21"/>
          <w:bdr w:val="none" w:sz="0" w:space="0" w:color="auto" w:frame="1"/>
          <w:lang w:eastAsia="tr-TR"/>
        </w:rPr>
        <w:t> [see Clinical Studies (</w:t>
      </w:r>
      <w:proofErr w:type="gramStart"/>
      <w:r w:rsidRPr="0045530E">
        <w:rPr>
          <w:rFonts w:ascii="inherit" w:eastAsia="Times New Roman" w:hAnsi="inherit" w:cs="Arial"/>
          <w:i/>
          <w:iCs/>
          <w:color w:val="222222"/>
          <w:sz w:val="21"/>
          <w:szCs w:val="21"/>
          <w:bdr w:val="none" w:sz="0" w:space="0" w:color="auto" w:frame="1"/>
          <w:lang w:eastAsia="tr-TR"/>
        </w:rPr>
        <w:t>14.5</w:t>
      </w:r>
      <w:proofErr w:type="gramEnd"/>
      <w:r w:rsidRPr="0045530E">
        <w:rPr>
          <w:rFonts w:ascii="inherit" w:eastAsia="Times New Roman" w:hAnsi="inherit" w:cs="Arial"/>
          <w:i/>
          <w:iCs/>
          <w:color w:val="222222"/>
          <w:sz w:val="21"/>
          <w:szCs w:val="21"/>
          <w:bdr w:val="none" w:sz="0" w:space="0" w:color="auto" w:frame="1"/>
          <w:lang w:eastAsia="tr-TR"/>
        </w:rPr>
        <w:t>)]</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15" w:name="L3ede82c5-bf02-4418-a307-5e0b601ac0fd"/>
      <w:bookmarkStart w:id="16" w:name="section-1.6"/>
      <w:bookmarkEnd w:id="15"/>
      <w:bookmarkEnd w:id="16"/>
      <w:r w:rsidRPr="0045530E">
        <w:rPr>
          <w:rFonts w:ascii="inherit" w:eastAsia="Times New Roman" w:hAnsi="inherit" w:cs="Arial"/>
          <w:b/>
          <w:bCs/>
          <w:color w:val="222222"/>
          <w:sz w:val="36"/>
          <w:szCs w:val="36"/>
          <w:lang w:eastAsia="tr-TR"/>
        </w:rPr>
        <w:t>1.6 Primary Dysmenorrhea (PD)</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Celecoxib is indicated for the treatment of PD </w:t>
      </w:r>
      <w:r w:rsidRPr="0045530E">
        <w:rPr>
          <w:rFonts w:ascii="inherit" w:eastAsia="Times New Roman" w:hAnsi="inherit" w:cs="Arial"/>
          <w:i/>
          <w:iCs/>
          <w:color w:val="222222"/>
          <w:sz w:val="21"/>
          <w:szCs w:val="21"/>
          <w:bdr w:val="none" w:sz="0" w:space="0" w:color="auto" w:frame="1"/>
          <w:lang w:eastAsia="tr-TR"/>
        </w:rPr>
        <w:t>[see Clinical Studies (</w:t>
      </w:r>
      <w:proofErr w:type="gramStart"/>
      <w:r w:rsidRPr="0045530E">
        <w:rPr>
          <w:rFonts w:ascii="inherit" w:eastAsia="Times New Roman" w:hAnsi="inherit" w:cs="Arial"/>
          <w:i/>
          <w:iCs/>
          <w:color w:val="222222"/>
          <w:sz w:val="21"/>
          <w:szCs w:val="21"/>
          <w:bdr w:val="none" w:sz="0" w:space="0" w:color="auto" w:frame="1"/>
          <w:lang w:eastAsia="tr-TR"/>
        </w:rPr>
        <w:t>14.5</w:t>
      </w:r>
      <w:proofErr w:type="gramEnd"/>
      <w:r w:rsidRPr="0045530E">
        <w:rPr>
          <w:rFonts w:ascii="inherit" w:eastAsia="Times New Roman" w:hAnsi="inherit" w:cs="Arial"/>
          <w:i/>
          <w:iCs/>
          <w:color w:val="222222"/>
          <w:sz w:val="21"/>
          <w:szCs w:val="21"/>
          <w:bdr w:val="none" w:sz="0" w:space="0" w:color="auto" w:frame="1"/>
          <w:lang w:eastAsia="tr-TR"/>
        </w:rPr>
        <w:t>)]</w:t>
      </w:r>
    </w:p>
    <w:p w:rsidR="0045530E" w:rsidRPr="0045530E" w:rsidRDefault="0045530E" w:rsidP="0045530E">
      <w:pPr>
        <w:shd w:val="clear" w:color="auto" w:fill="FFFFFF"/>
        <w:spacing w:after="75" w:line="240" w:lineRule="auto"/>
        <w:ind w:left="450"/>
        <w:textAlignment w:val="baseline"/>
        <w:rPr>
          <w:rFonts w:ascii="inherit" w:eastAsia="Times New Roman" w:hAnsi="inherit" w:cs="Arial"/>
          <w:color w:val="222222"/>
          <w:sz w:val="21"/>
          <w:szCs w:val="21"/>
          <w:lang w:eastAsia="tr-TR"/>
        </w:rPr>
      </w:pPr>
      <w:hyperlink r:id="rId138" w:history="1">
        <w:r w:rsidRPr="0045530E">
          <w:rPr>
            <w:rFonts w:ascii="Arial" w:eastAsia="Times New Roman" w:hAnsi="Arial" w:cs="Arial"/>
            <w:caps/>
            <w:color w:val="1D86BB"/>
            <w:sz w:val="18"/>
            <w:szCs w:val="18"/>
            <w:u w:val="single"/>
            <w:bdr w:val="none" w:sz="0" w:space="0" w:color="auto" w:frame="1"/>
            <w:lang w:eastAsia="tr-TR"/>
          </w:rPr>
          <w:t>CLOSE</w:t>
        </w:r>
      </w:hyperlink>
    </w:p>
    <w:p w:rsidR="0045530E" w:rsidRPr="0045530E" w:rsidRDefault="0045530E" w:rsidP="0045530E">
      <w:pPr>
        <w:numPr>
          <w:ilvl w:val="0"/>
          <w:numId w:val="9"/>
        </w:numPr>
        <w:shd w:val="clear" w:color="auto" w:fill="FFFFFF"/>
        <w:spacing w:after="0" w:line="240" w:lineRule="auto"/>
        <w:ind w:left="0"/>
        <w:textAlignment w:val="baseline"/>
        <w:rPr>
          <w:rFonts w:ascii="inherit" w:eastAsia="Times New Roman" w:hAnsi="inherit" w:cs="Arial"/>
          <w:color w:val="222222"/>
          <w:sz w:val="21"/>
          <w:szCs w:val="21"/>
          <w:lang w:eastAsia="tr-TR"/>
        </w:rPr>
      </w:pPr>
      <w:hyperlink r:id="rId139" w:history="1">
        <w:r w:rsidRPr="0045530E">
          <w:rPr>
            <w:rFonts w:ascii="Arial" w:eastAsia="Times New Roman" w:hAnsi="Arial" w:cs="Arial"/>
            <w:caps/>
            <w:color w:val="000000"/>
            <w:sz w:val="30"/>
            <w:szCs w:val="30"/>
            <w:u w:val="single"/>
            <w:bdr w:val="none" w:sz="0" w:space="0" w:color="auto" w:frame="1"/>
            <w:lang w:eastAsia="tr-TR"/>
          </w:rPr>
          <w:t>2. DOSAGE AND ADMINISTRATION</w:t>
        </w:r>
      </w:hyperlink>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bookmarkStart w:id="17" w:name="Lcd1072fb-4860-42e7-9c05-eda520928a41"/>
      <w:bookmarkStart w:id="18" w:name="section-2"/>
      <w:bookmarkEnd w:id="17"/>
      <w:bookmarkEnd w:id="18"/>
      <w:r w:rsidRPr="0045530E">
        <w:rPr>
          <w:rFonts w:ascii="inherit" w:eastAsia="Times New Roman" w:hAnsi="inherit" w:cs="Arial"/>
          <w:color w:val="222222"/>
          <w:sz w:val="21"/>
          <w:szCs w:val="21"/>
          <w:lang w:eastAsia="tr-TR"/>
        </w:rPr>
        <w:t>Use lowest effective dose for the shortest duration consistent with treatment goals for the individual patient. These doses can be given without regard to timing of meals.</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19" w:name="L20637c78-d081-45f3-a914-d3000f062074"/>
      <w:bookmarkStart w:id="20" w:name="section-2.1"/>
      <w:bookmarkEnd w:id="19"/>
      <w:bookmarkEnd w:id="20"/>
      <w:r w:rsidRPr="0045530E">
        <w:rPr>
          <w:rFonts w:ascii="inherit" w:eastAsia="Times New Roman" w:hAnsi="inherit" w:cs="Arial"/>
          <w:b/>
          <w:bCs/>
          <w:color w:val="222222"/>
          <w:sz w:val="36"/>
          <w:szCs w:val="36"/>
          <w:lang w:eastAsia="tr-TR"/>
        </w:rPr>
        <w:t>2.1 Osteoarthritis</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For relief of the signs and symptoms of OA the recommended oral dose is 200 mg per day administered as a single dose or as 100 mg twice daily.</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21" w:name="L914a2c7f-e77c-4305-92d0-2b80219925f6"/>
      <w:bookmarkStart w:id="22" w:name="section-2.2"/>
      <w:bookmarkEnd w:id="21"/>
      <w:bookmarkEnd w:id="22"/>
      <w:r w:rsidRPr="0045530E">
        <w:rPr>
          <w:rFonts w:ascii="inherit" w:eastAsia="Times New Roman" w:hAnsi="inherit" w:cs="Arial"/>
          <w:b/>
          <w:bCs/>
          <w:color w:val="222222"/>
          <w:sz w:val="36"/>
          <w:szCs w:val="36"/>
          <w:lang w:eastAsia="tr-TR"/>
        </w:rPr>
        <w:t>2.2 Rheumatoid Arthritis</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For relief of the signs and symptoms of RA the recommended oral dose is 100 to 200 mg twice daily.</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23" w:name="L37593081-5187-4a99-babd-921e2bd37bd1"/>
      <w:bookmarkStart w:id="24" w:name="section-2.3"/>
      <w:bookmarkEnd w:id="23"/>
      <w:bookmarkEnd w:id="24"/>
      <w:r w:rsidRPr="0045530E">
        <w:rPr>
          <w:rFonts w:ascii="inherit" w:eastAsia="Times New Roman" w:hAnsi="inherit" w:cs="Arial"/>
          <w:b/>
          <w:bCs/>
          <w:color w:val="222222"/>
          <w:sz w:val="36"/>
          <w:szCs w:val="36"/>
          <w:lang w:eastAsia="tr-TR"/>
        </w:rPr>
        <w:t>2.3 Juvenile Rheumatoid Arthritis</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For the relief of the signs and symptoms of JRA the recommended oral dose for pediatric patients (age 2 years and older) is based on weight. For patients </w:t>
      </w:r>
      <w:r w:rsidRPr="0045530E">
        <w:rPr>
          <w:rFonts w:ascii="inherit" w:eastAsia="Times New Roman" w:hAnsi="inherit" w:cs="Arial"/>
          <w:color w:val="222222"/>
          <w:sz w:val="21"/>
          <w:szCs w:val="21"/>
          <w:u w:val="single"/>
          <w:bdr w:val="none" w:sz="0" w:space="0" w:color="auto" w:frame="1"/>
          <w:lang w:eastAsia="tr-TR"/>
        </w:rPr>
        <w:t>&gt;</w:t>
      </w:r>
      <w:r w:rsidRPr="0045530E">
        <w:rPr>
          <w:rFonts w:ascii="inherit" w:eastAsia="Times New Roman" w:hAnsi="inherit" w:cs="Arial"/>
          <w:color w:val="222222"/>
          <w:sz w:val="21"/>
          <w:szCs w:val="21"/>
          <w:lang w:eastAsia="tr-TR"/>
        </w:rPr>
        <w:t>10 kg to &lt;25 kg the recommended dose is 50 mg twice daily. For patients &gt;25 kg the recommended dose is 100 mg twice daily.</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For patients who have difficulty swallowing capsules, the contents of a celecoxib capsule can be added to applesauce. The entire capsule contents are carefully emptied onto a level teaspoon of cool or room temperature applesauce and ingested immediately with water. The sprinkled capsule contents on applesauce are stable for up to 6 hours under refrigerated conditions (2 to 8° C/ 35 to 45° F).</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25" w:name="Ldd65b142-0e8f-4745-b757-91d468f7398e"/>
      <w:bookmarkStart w:id="26" w:name="section-2.4"/>
      <w:bookmarkEnd w:id="25"/>
      <w:bookmarkEnd w:id="26"/>
      <w:r w:rsidRPr="0045530E">
        <w:rPr>
          <w:rFonts w:ascii="inherit" w:eastAsia="Times New Roman" w:hAnsi="inherit" w:cs="Arial"/>
          <w:b/>
          <w:bCs/>
          <w:color w:val="222222"/>
          <w:sz w:val="36"/>
          <w:szCs w:val="36"/>
          <w:lang w:eastAsia="tr-TR"/>
        </w:rPr>
        <w:t>2.4 Ankylosing Spondylitis</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For the management of the signs and symptoms of AS, the recommended dose of celecoxib is 200 mg daily in single (once per day) or divided (twice per day) doses. If no effect is observed after 6 weeks, a trial of 400 mg daily may be worthwhile. If no effect is observed after 6 weeks on 400 mg daily, a response is not likely and consideration should be given to alternate treatment options.</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27" w:name="Lf0cd1208-d8d4-4e94-86fd-477e51f3ba85"/>
      <w:bookmarkStart w:id="28" w:name="section-2.5"/>
      <w:bookmarkEnd w:id="27"/>
      <w:bookmarkEnd w:id="28"/>
      <w:r w:rsidRPr="0045530E">
        <w:rPr>
          <w:rFonts w:ascii="inherit" w:eastAsia="Times New Roman" w:hAnsi="inherit" w:cs="Arial"/>
          <w:b/>
          <w:bCs/>
          <w:color w:val="222222"/>
          <w:sz w:val="36"/>
          <w:szCs w:val="36"/>
          <w:lang w:eastAsia="tr-TR"/>
        </w:rPr>
        <w:t>2.5 Management of Acute Pain and Treatment of Primary Dysmenorrhea</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The recommended dose of celecoxib is 400 mg initially, followed by an additional 200 mg dose if needed on the first day. On subsequent days, the recommended dose is 200 mg twice daily as needed.</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29" w:name="Ld1c61e24-b842-4484-b7da-f559a97d53b8"/>
      <w:bookmarkStart w:id="30" w:name="section-2.6"/>
      <w:bookmarkEnd w:id="29"/>
      <w:bookmarkEnd w:id="30"/>
      <w:r w:rsidRPr="0045530E">
        <w:rPr>
          <w:rFonts w:ascii="inherit" w:eastAsia="Times New Roman" w:hAnsi="inherit" w:cs="Arial"/>
          <w:b/>
          <w:bCs/>
          <w:color w:val="222222"/>
          <w:sz w:val="36"/>
          <w:szCs w:val="36"/>
          <w:lang w:eastAsia="tr-TR"/>
        </w:rPr>
        <w:t>2.6 Special Populations</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i/>
          <w:iCs/>
          <w:color w:val="222222"/>
          <w:sz w:val="21"/>
          <w:szCs w:val="21"/>
          <w:bdr w:val="none" w:sz="0" w:space="0" w:color="auto" w:frame="1"/>
          <w:lang w:eastAsia="tr-TR"/>
        </w:rPr>
        <w:t>Hepatic insufficiency:</w:t>
      </w:r>
      <w:r w:rsidRPr="0045530E">
        <w:rPr>
          <w:rFonts w:ascii="inherit" w:eastAsia="Times New Roman" w:hAnsi="inherit" w:cs="Arial"/>
          <w:color w:val="222222"/>
          <w:sz w:val="21"/>
          <w:szCs w:val="21"/>
          <w:lang w:eastAsia="tr-TR"/>
        </w:rPr>
        <w:t> The daily recommended dose of celecoxib capsules in patients with moderate hepatic impairment (Child- Pugh Class B) should be reduced by 50%. The use of celecoxib in patients with severe hepatic impairment is not recommended [</w:t>
      </w:r>
      <w:r w:rsidRPr="0045530E">
        <w:rPr>
          <w:rFonts w:ascii="inherit" w:eastAsia="Times New Roman" w:hAnsi="inherit" w:cs="Arial"/>
          <w:i/>
          <w:iCs/>
          <w:color w:val="222222"/>
          <w:sz w:val="21"/>
          <w:szCs w:val="21"/>
          <w:bdr w:val="none" w:sz="0" w:space="0" w:color="auto" w:frame="1"/>
          <w:lang w:eastAsia="tr-TR"/>
        </w:rPr>
        <w:t>see Warnings and Precautions (</w:t>
      </w:r>
      <w:proofErr w:type="gramStart"/>
      <w:r w:rsidRPr="0045530E">
        <w:rPr>
          <w:rFonts w:ascii="inherit" w:eastAsia="Times New Roman" w:hAnsi="inherit" w:cs="Arial"/>
          <w:i/>
          <w:iCs/>
          <w:color w:val="222222"/>
          <w:sz w:val="21"/>
          <w:szCs w:val="21"/>
          <w:bdr w:val="none" w:sz="0" w:space="0" w:color="auto" w:frame="1"/>
          <w:lang w:eastAsia="tr-TR"/>
        </w:rPr>
        <w:t>5.5</w:t>
      </w:r>
      <w:proofErr w:type="gramEnd"/>
      <w:r w:rsidRPr="0045530E">
        <w:rPr>
          <w:rFonts w:ascii="inherit" w:eastAsia="Times New Roman" w:hAnsi="inherit" w:cs="Arial"/>
          <w:i/>
          <w:iCs/>
          <w:color w:val="222222"/>
          <w:sz w:val="21"/>
          <w:szCs w:val="21"/>
          <w:bdr w:val="none" w:sz="0" w:space="0" w:color="auto" w:frame="1"/>
          <w:lang w:eastAsia="tr-TR"/>
        </w:rPr>
        <w:t>), Use in Specific Populations (8.6) and Clinical Pharmacology (12.3)].</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i/>
          <w:iCs/>
          <w:color w:val="222222"/>
          <w:sz w:val="21"/>
          <w:szCs w:val="21"/>
          <w:bdr w:val="none" w:sz="0" w:space="0" w:color="auto" w:frame="1"/>
          <w:lang w:eastAsia="tr-TR"/>
        </w:rPr>
        <w:t xml:space="preserve">Poor Metabolizers of CYP2C9 </w:t>
      </w:r>
      <w:proofErr w:type="gramStart"/>
      <w:r w:rsidRPr="0045530E">
        <w:rPr>
          <w:rFonts w:ascii="inherit" w:eastAsia="Times New Roman" w:hAnsi="inherit" w:cs="Arial"/>
          <w:b/>
          <w:bCs/>
          <w:i/>
          <w:iCs/>
          <w:color w:val="222222"/>
          <w:sz w:val="21"/>
          <w:szCs w:val="21"/>
          <w:bdr w:val="none" w:sz="0" w:space="0" w:color="auto" w:frame="1"/>
          <w:lang w:eastAsia="tr-TR"/>
        </w:rPr>
        <w:t>Substrates:</w:t>
      </w:r>
      <w:r w:rsidRPr="0045530E">
        <w:rPr>
          <w:rFonts w:ascii="inherit" w:eastAsia="Times New Roman" w:hAnsi="inherit" w:cs="Arial"/>
          <w:color w:val="222222"/>
          <w:sz w:val="21"/>
          <w:szCs w:val="21"/>
          <w:lang w:eastAsia="tr-TR"/>
        </w:rPr>
        <w:t>Patients</w:t>
      </w:r>
      <w:proofErr w:type="gramEnd"/>
      <w:r w:rsidRPr="0045530E">
        <w:rPr>
          <w:rFonts w:ascii="inherit" w:eastAsia="Times New Roman" w:hAnsi="inherit" w:cs="Arial"/>
          <w:color w:val="222222"/>
          <w:sz w:val="21"/>
          <w:szCs w:val="21"/>
          <w:lang w:eastAsia="tr-TR"/>
        </w:rPr>
        <w:t xml:space="preserve"> who are known or suspected to be poor CYP2C9 metabolizers based on genotype or previous history/experience with other CYP2C9 substrates (such as warfarin, phenytoin) should be administered celecoxib with caution.</w:t>
      </w:r>
      <w:r w:rsidRPr="0045530E">
        <w:rPr>
          <w:rFonts w:ascii="inherit" w:eastAsia="Times New Roman" w:hAnsi="inherit" w:cs="Arial"/>
          <w:color w:val="222222"/>
          <w:sz w:val="21"/>
          <w:szCs w:val="21"/>
          <w:lang w:eastAsia="tr-TR"/>
        </w:rPr>
        <w:br/>
        <w:t>Consider starting treatment at half the lowest recommended dose in poor metabolizers (i.e. CYP2C9*3/*3). Consider using alternative management in JRA patients who are poor metabolizers</w:t>
      </w:r>
      <w:r w:rsidRPr="0045530E">
        <w:rPr>
          <w:rFonts w:ascii="inherit" w:eastAsia="Times New Roman" w:hAnsi="inherit" w:cs="Arial"/>
          <w:i/>
          <w:iCs/>
          <w:color w:val="222222"/>
          <w:sz w:val="21"/>
          <w:szCs w:val="21"/>
          <w:bdr w:val="none" w:sz="0" w:space="0" w:color="auto" w:frame="1"/>
          <w:lang w:eastAsia="tr-TR"/>
        </w:rPr>
        <w:t> [see Use in Specific populations (</w:t>
      </w:r>
      <w:proofErr w:type="gramStart"/>
      <w:r w:rsidRPr="0045530E">
        <w:rPr>
          <w:rFonts w:ascii="inherit" w:eastAsia="Times New Roman" w:hAnsi="inherit" w:cs="Arial"/>
          <w:i/>
          <w:iCs/>
          <w:color w:val="222222"/>
          <w:sz w:val="21"/>
          <w:szCs w:val="21"/>
          <w:bdr w:val="none" w:sz="0" w:space="0" w:color="auto" w:frame="1"/>
          <w:lang w:eastAsia="tr-TR"/>
        </w:rPr>
        <w:t>8.8</w:t>
      </w:r>
      <w:proofErr w:type="gramEnd"/>
      <w:r w:rsidRPr="0045530E">
        <w:rPr>
          <w:rFonts w:ascii="inherit" w:eastAsia="Times New Roman" w:hAnsi="inherit" w:cs="Arial"/>
          <w:i/>
          <w:iCs/>
          <w:color w:val="222222"/>
          <w:sz w:val="21"/>
          <w:szCs w:val="21"/>
          <w:bdr w:val="none" w:sz="0" w:space="0" w:color="auto" w:frame="1"/>
          <w:lang w:eastAsia="tr-TR"/>
        </w:rPr>
        <w:t>), and Clinical Pharmacology (12.5)].</w:t>
      </w:r>
    </w:p>
    <w:p w:rsidR="0045530E" w:rsidRPr="0045530E" w:rsidRDefault="0045530E" w:rsidP="0045530E">
      <w:pPr>
        <w:shd w:val="clear" w:color="auto" w:fill="FFFFFF"/>
        <w:spacing w:after="75" w:line="240" w:lineRule="auto"/>
        <w:ind w:left="450"/>
        <w:textAlignment w:val="baseline"/>
        <w:rPr>
          <w:rFonts w:ascii="inherit" w:eastAsia="Times New Roman" w:hAnsi="inherit" w:cs="Arial"/>
          <w:color w:val="222222"/>
          <w:sz w:val="21"/>
          <w:szCs w:val="21"/>
          <w:lang w:eastAsia="tr-TR"/>
        </w:rPr>
      </w:pPr>
      <w:hyperlink r:id="rId140" w:history="1">
        <w:r w:rsidRPr="0045530E">
          <w:rPr>
            <w:rFonts w:ascii="Arial" w:eastAsia="Times New Roman" w:hAnsi="Arial" w:cs="Arial"/>
            <w:caps/>
            <w:color w:val="1D86BB"/>
            <w:sz w:val="18"/>
            <w:szCs w:val="18"/>
            <w:u w:val="single"/>
            <w:bdr w:val="none" w:sz="0" w:space="0" w:color="auto" w:frame="1"/>
            <w:lang w:eastAsia="tr-TR"/>
          </w:rPr>
          <w:t>CLOSE</w:t>
        </w:r>
      </w:hyperlink>
    </w:p>
    <w:p w:rsidR="0045530E" w:rsidRPr="0045530E" w:rsidRDefault="0045530E" w:rsidP="0045530E">
      <w:pPr>
        <w:numPr>
          <w:ilvl w:val="0"/>
          <w:numId w:val="9"/>
        </w:numPr>
        <w:shd w:val="clear" w:color="auto" w:fill="FFFFFF"/>
        <w:spacing w:after="0" w:line="240" w:lineRule="auto"/>
        <w:ind w:left="0"/>
        <w:textAlignment w:val="baseline"/>
        <w:rPr>
          <w:rFonts w:ascii="inherit" w:eastAsia="Times New Roman" w:hAnsi="inherit" w:cs="Arial"/>
          <w:color w:val="222222"/>
          <w:sz w:val="21"/>
          <w:szCs w:val="21"/>
          <w:lang w:eastAsia="tr-TR"/>
        </w:rPr>
      </w:pPr>
      <w:hyperlink r:id="rId141" w:history="1">
        <w:r w:rsidRPr="0045530E">
          <w:rPr>
            <w:rFonts w:ascii="Arial" w:eastAsia="Times New Roman" w:hAnsi="Arial" w:cs="Arial"/>
            <w:caps/>
            <w:color w:val="000000"/>
            <w:sz w:val="30"/>
            <w:szCs w:val="30"/>
            <w:u w:val="single"/>
            <w:bdr w:val="none" w:sz="0" w:space="0" w:color="auto" w:frame="1"/>
            <w:lang w:eastAsia="tr-TR"/>
          </w:rPr>
          <w:t>3. DOSAGE FORMS AND STRENGTHS</w:t>
        </w:r>
      </w:hyperlink>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bookmarkStart w:id="31" w:name="L1dfeb8d3-d049-4569-ba86-492f9d93076c"/>
      <w:bookmarkStart w:id="32" w:name="section-3"/>
      <w:bookmarkEnd w:id="31"/>
      <w:bookmarkEnd w:id="32"/>
      <w:r w:rsidRPr="0045530E">
        <w:rPr>
          <w:rFonts w:ascii="inherit" w:eastAsia="Times New Roman" w:hAnsi="inherit" w:cs="Arial"/>
          <w:color w:val="222222"/>
          <w:sz w:val="21"/>
          <w:szCs w:val="21"/>
          <w:lang w:eastAsia="tr-TR"/>
        </w:rPr>
        <w:t>Capsules: 50 mg, 100 mg, 200 mg and 400 mg </w:t>
      </w:r>
    </w:p>
    <w:p w:rsidR="0045530E" w:rsidRPr="0045530E" w:rsidRDefault="0045530E" w:rsidP="0045530E">
      <w:pPr>
        <w:shd w:val="clear" w:color="auto" w:fill="FFFFFF"/>
        <w:spacing w:after="75" w:line="240" w:lineRule="auto"/>
        <w:ind w:left="450"/>
        <w:textAlignment w:val="baseline"/>
        <w:rPr>
          <w:rFonts w:ascii="inherit" w:eastAsia="Times New Roman" w:hAnsi="inherit" w:cs="Arial"/>
          <w:color w:val="222222"/>
          <w:sz w:val="21"/>
          <w:szCs w:val="21"/>
          <w:lang w:eastAsia="tr-TR"/>
        </w:rPr>
      </w:pPr>
      <w:hyperlink r:id="rId142" w:history="1">
        <w:r w:rsidRPr="0045530E">
          <w:rPr>
            <w:rFonts w:ascii="Arial" w:eastAsia="Times New Roman" w:hAnsi="Arial" w:cs="Arial"/>
            <w:caps/>
            <w:color w:val="1D86BB"/>
            <w:sz w:val="18"/>
            <w:szCs w:val="18"/>
            <w:u w:val="single"/>
            <w:bdr w:val="none" w:sz="0" w:space="0" w:color="auto" w:frame="1"/>
            <w:lang w:eastAsia="tr-TR"/>
          </w:rPr>
          <w:t>CLOSE</w:t>
        </w:r>
      </w:hyperlink>
    </w:p>
    <w:p w:rsidR="0045530E" w:rsidRPr="0045530E" w:rsidRDefault="0045530E" w:rsidP="0045530E">
      <w:pPr>
        <w:numPr>
          <w:ilvl w:val="0"/>
          <w:numId w:val="9"/>
        </w:numPr>
        <w:shd w:val="clear" w:color="auto" w:fill="FFFFFF"/>
        <w:spacing w:after="0" w:line="240" w:lineRule="auto"/>
        <w:ind w:left="0"/>
        <w:textAlignment w:val="baseline"/>
        <w:rPr>
          <w:rFonts w:ascii="inherit" w:eastAsia="Times New Roman" w:hAnsi="inherit" w:cs="Arial"/>
          <w:color w:val="222222"/>
          <w:sz w:val="21"/>
          <w:szCs w:val="21"/>
          <w:lang w:eastAsia="tr-TR"/>
        </w:rPr>
      </w:pPr>
      <w:hyperlink r:id="rId143" w:history="1">
        <w:r w:rsidRPr="0045530E">
          <w:rPr>
            <w:rFonts w:ascii="Arial" w:eastAsia="Times New Roman" w:hAnsi="Arial" w:cs="Arial"/>
            <w:caps/>
            <w:color w:val="000000"/>
            <w:sz w:val="30"/>
            <w:szCs w:val="30"/>
            <w:u w:val="single"/>
            <w:bdr w:val="none" w:sz="0" w:space="0" w:color="auto" w:frame="1"/>
            <w:lang w:eastAsia="tr-TR"/>
          </w:rPr>
          <w:t>4. CONTRAINDICATIONS</w:t>
        </w:r>
      </w:hyperlink>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bookmarkStart w:id="33" w:name="Ld97fd96e-65b9-4809-8d37-dc2fd83b6dd2"/>
      <w:bookmarkStart w:id="34" w:name="section-4"/>
      <w:bookmarkEnd w:id="33"/>
      <w:bookmarkEnd w:id="34"/>
      <w:r w:rsidRPr="0045530E">
        <w:rPr>
          <w:rFonts w:ascii="inherit" w:eastAsia="Times New Roman" w:hAnsi="inherit" w:cs="Arial"/>
          <w:color w:val="222222"/>
          <w:sz w:val="21"/>
          <w:szCs w:val="21"/>
          <w:lang w:eastAsia="tr-TR"/>
        </w:rPr>
        <w:t>Celecoxib is contraindicated:</w:t>
      </w:r>
      <w:r w:rsidRPr="0045530E">
        <w:rPr>
          <w:rFonts w:ascii="inherit" w:eastAsia="Times New Roman" w:hAnsi="inherit" w:cs="Arial"/>
          <w:color w:val="222222"/>
          <w:sz w:val="21"/>
          <w:szCs w:val="21"/>
          <w:lang w:eastAsia="tr-TR"/>
        </w:rPr>
        <w:br/>
      </w:r>
      <w:r w:rsidRPr="0045530E">
        <w:rPr>
          <w:rFonts w:ascii="inherit" w:eastAsia="Times New Roman" w:hAnsi="inherit" w:cs="Arial"/>
          <w:b/>
          <w:bCs/>
          <w:color w:val="222222"/>
          <w:sz w:val="21"/>
          <w:szCs w:val="21"/>
          <w:bdr w:val="none" w:sz="0" w:space="0" w:color="auto" w:frame="1"/>
          <w:lang w:eastAsia="tr-TR"/>
        </w:rPr>
        <w:t>•</w:t>
      </w:r>
      <w:r w:rsidRPr="0045530E">
        <w:rPr>
          <w:rFonts w:ascii="inherit" w:eastAsia="Times New Roman" w:hAnsi="inherit" w:cs="Arial"/>
          <w:color w:val="222222"/>
          <w:sz w:val="21"/>
          <w:szCs w:val="21"/>
          <w:lang w:eastAsia="tr-TR"/>
        </w:rPr>
        <w:t> In patients with known hypersensitivity to celecoxib, aspirin, or other NSAIDs.</w:t>
      </w:r>
      <w:r w:rsidRPr="0045530E">
        <w:rPr>
          <w:rFonts w:ascii="inherit" w:eastAsia="Times New Roman" w:hAnsi="inherit" w:cs="Arial"/>
          <w:color w:val="222222"/>
          <w:sz w:val="21"/>
          <w:szCs w:val="21"/>
          <w:lang w:eastAsia="tr-TR"/>
        </w:rPr>
        <w:br/>
      </w:r>
      <w:r w:rsidRPr="0045530E">
        <w:rPr>
          <w:rFonts w:ascii="inherit" w:eastAsia="Times New Roman" w:hAnsi="inherit" w:cs="Arial"/>
          <w:b/>
          <w:bCs/>
          <w:color w:val="222222"/>
          <w:sz w:val="21"/>
          <w:szCs w:val="21"/>
          <w:bdr w:val="none" w:sz="0" w:space="0" w:color="auto" w:frame="1"/>
          <w:lang w:eastAsia="tr-TR"/>
        </w:rPr>
        <w:t>•</w:t>
      </w:r>
      <w:r w:rsidRPr="0045530E">
        <w:rPr>
          <w:rFonts w:ascii="inherit" w:eastAsia="Times New Roman" w:hAnsi="inherit" w:cs="Arial"/>
          <w:color w:val="222222"/>
          <w:sz w:val="21"/>
          <w:szCs w:val="21"/>
          <w:lang w:eastAsia="tr-TR"/>
        </w:rPr>
        <w:t> In patients who have demonstrated allergic-type reactions to sulfonamides.</w:t>
      </w:r>
      <w:r w:rsidRPr="0045530E">
        <w:rPr>
          <w:rFonts w:ascii="inherit" w:eastAsia="Times New Roman" w:hAnsi="inherit" w:cs="Arial"/>
          <w:color w:val="222222"/>
          <w:sz w:val="21"/>
          <w:szCs w:val="21"/>
          <w:lang w:eastAsia="tr-TR"/>
        </w:rPr>
        <w:br/>
      </w:r>
      <w:r w:rsidRPr="0045530E">
        <w:rPr>
          <w:rFonts w:ascii="inherit" w:eastAsia="Times New Roman" w:hAnsi="inherit" w:cs="Arial"/>
          <w:b/>
          <w:bCs/>
          <w:color w:val="222222"/>
          <w:sz w:val="21"/>
          <w:szCs w:val="21"/>
          <w:bdr w:val="none" w:sz="0" w:space="0" w:color="auto" w:frame="1"/>
          <w:lang w:eastAsia="tr-TR"/>
        </w:rPr>
        <w:t>•</w:t>
      </w:r>
      <w:r w:rsidRPr="0045530E">
        <w:rPr>
          <w:rFonts w:ascii="inherit" w:eastAsia="Times New Roman" w:hAnsi="inherit" w:cs="Arial"/>
          <w:color w:val="222222"/>
          <w:sz w:val="21"/>
          <w:szCs w:val="21"/>
          <w:lang w:eastAsia="tr-TR"/>
        </w:rPr>
        <w:t xml:space="preserve"> In patients who have experienced asthma, urticaria, or allergic-type reactions after taking aspirin or other NSAIDs. Severe anaphylactoid     reactions to NSAIDs, some of them </w:t>
      </w:r>
      <w:proofErr w:type="gramStart"/>
      <w:r w:rsidRPr="0045530E">
        <w:rPr>
          <w:rFonts w:ascii="inherit" w:eastAsia="Times New Roman" w:hAnsi="inherit" w:cs="Arial"/>
          <w:color w:val="222222"/>
          <w:sz w:val="21"/>
          <w:szCs w:val="21"/>
          <w:lang w:eastAsia="tr-TR"/>
        </w:rPr>
        <w:t>fatal,have</w:t>
      </w:r>
      <w:proofErr w:type="gramEnd"/>
      <w:r w:rsidRPr="0045530E">
        <w:rPr>
          <w:rFonts w:ascii="inherit" w:eastAsia="Times New Roman" w:hAnsi="inherit" w:cs="Arial"/>
          <w:color w:val="222222"/>
          <w:sz w:val="21"/>
          <w:szCs w:val="21"/>
          <w:lang w:eastAsia="tr-TR"/>
        </w:rPr>
        <w:t xml:space="preserve"> been reported in such patients [see Warnings and Precautions (5.7, 5.13)]</w:t>
      </w:r>
      <w:r w:rsidRPr="0045530E">
        <w:rPr>
          <w:rFonts w:ascii="inherit" w:eastAsia="Times New Roman" w:hAnsi="inherit" w:cs="Arial"/>
          <w:color w:val="222222"/>
          <w:sz w:val="21"/>
          <w:szCs w:val="21"/>
          <w:lang w:eastAsia="tr-TR"/>
        </w:rPr>
        <w:br/>
      </w:r>
      <w:r w:rsidRPr="0045530E">
        <w:rPr>
          <w:rFonts w:ascii="inherit" w:eastAsia="Times New Roman" w:hAnsi="inherit" w:cs="Arial"/>
          <w:b/>
          <w:bCs/>
          <w:color w:val="222222"/>
          <w:sz w:val="21"/>
          <w:szCs w:val="21"/>
          <w:bdr w:val="none" w:sz="0" w:space="0" w:color="auto" w:frame="1"/>
          <w:lang w:eastAsia="tr-TR"/>
        </w:rPr>
        <w:t>•</w:t>
      </w:r>
      <w:r w:rsidRPr="0045530E">
        <w:rPr>
          <w:rFonts w:ascii="inherit" w:eastAsia="Times New Roman" w:hAnsi="inherit" w:cs="Arial"/>
          <w:color w:val="222222"/>
          <w:sz w:val="21"/>
          <w:szCs w:val="21"/>
          <w:lang w:eastAsia="tr-TR"/>
        </w:rPr>
        <w:t> For the treatment of peri-operative pain in the setting of coronary artery bypass graft(CABG) surgery</w:t>
      </w:r>
      <w:r w:rsidRPr="0045530E">
        <w:rPr>
          <w:rFonts w:ascii="inherit" w:eastAsia="Times New Roman" w:hAnsi="inherit" w:cs="Arial"/>
          <w:i/>
          <w:iCs/>
          <w:color w:val="222222"/>
          <w:sz w:val="21"/>
          <w:szCs w:val="21"/>
          <w:bdr w:val="none" w:sz="0" w:space="0" w:color="auto" w:frame="1"/>
          <w:lang w:eastAsia="tr-TR"/>
        </w:rPr>
        <w:t> [see Warnings andPrecautions (5.1)].</w:t>
      </w:r>
    </w:p>
    <w:p w:rsidR="0045530E" w:rsidRPr="0045530E" w:rsidRDefault="0045530E" w:rsidP="0045530E">
      <w:pPr>
        <w:shd w:val="clear" w:color="auto" w:fill="FFFFFF"/>
        <w:spacing w:after="75" w:line="240" w:lineRule="auto"/>
        <w:ind w:left="450"/>
        <w:textAlignment w:val="baseline"/>
        <w:rPr>
          <w:rFonts w:ascii="inherit" w:eastAsia="Times New Roman" w:hAnsi="inherit" w:cs="Arial"/>
          <w:color w:val="222222"/>
          <w:sz w:val="21"/>
          <w:szCs w:val="21"/>
          <w:lang w:eastAsia="tr-TR"/>
        </w:rPr>
      </w:pPr>
      <w:hyperlink r:id="rId144" w:history="1">
        <w:r w:rsidRPr="0045530E">
          <w:rPr>
            <w:rFonts w:ascii="Arial" w:eastAsia="Times New Roman" w:hAnsi="Arial" w:cs="Arial"/>
            <w:caps/>
            <w:color w:val="1D86BB"/>
            <w:sz w:val="18"/>
            <w:szCs w:val="18"/>
            <w:u w:val="single"/>
            <w:bdr w:val="none" w:sz="0" w:space="0" w:color="auto" w:frame="1"/>
            <w:lang w:eastAsia="tr-TR"/>
          </w:rPr>
          <w:t>CLOSE</w:t>
        </w:r>
      </w:hyperlink>
    </w:p>
    <w:p w:rsidR="0045530E" w:rsidRPr="0045530E" w:rsidRDefault="0045530E" w:rsidP="0045530E">
      <w:pPr>
        <w:numPr>
          <w:ilvl w:val="0"/>
          <w:numId w:val="9"/>
        </w:numPr>
        <w:shd w:val="clear" w:color="auto" w:fill="FFFFFF"/>
        <w:spacing w:after="0" w:line="240" w:lineRule="auto"/>
        <w:ind w:left="0"/>
        <w:textAlignment w:val="baseline"/>
        <w:rPr>
          <w:rFonts w:ascii="inherit" w:eastAsia="Times New Roman" w:hAnsi="inherit" w:cs="Arial"/>
          <w:color w:val="222222"/>
          <w:sz w:val="21"/>
          <w:szCs w:val="21"/>
          <w:lang w:eastAsia="tr-TR"/>
        </w:rPr>
      </w:pPr>
      <w:hyperlink r:id="rId145" w:history="1">
        <w:r w:rsidRPr="0045530E">
          <w:rPr>
            <w:rFonts w:ascii="Arial" w:eastAsia="Times New Roman" w:hAnsi="Arial" w:cs="Arial"/>
            <w:caps/>
            <w:color w:val="000000"/>
            <w:sz w:val="30"/>
            <w:szCs w:val="30"/>
            <w:u w:val="single"/>
            <w:bdr w:val="none" w:sz="0" w:space="0" w:color="auto" w:frame="1"/>
            <w:lang w:eastAsia="tr-TR"/>
          </w:rPr>
          <w:t>5. WARNINGS AND PRECAUTIONS</w:t>
        </w:r>
      </w:hyperlink>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35" w:name="Lc24d7af1-45f8-45d9-a99b-97616f4bfc92"/>
      <w:bookmarkStart w:id="36" w:name="section-5"/>
      <w:bookmarkStart w:id="37" w:name="L15b7803a-d126-4dc2-b8b3-eaa6916ab5f8"/>
      <w:bookmarkStart w:id="38" w:name="section-5.1"/>
      <w:bookmarkEnd w:id="35"/>
      <w:bookmarkEnd w:id="36"/>
      <w:bookmarkEnd w:id="37"/>
      <w:bookmarkEnd w:id="38"/>
      <w:r w:rsidRPr="0045530E">
        <w:rPr>
          <w:rFonts w:ascii="inherit" w:eastAsia="Times New Roman" w:hAnsi="inherit" w:cs="Arial"/>
          <w:b/>
          <w:bCs/>
          <w:color w:val="222222"/>
          <w:sz w:val="36"/>
          <w:szCs w:val="36"/>
          <w:lang w:eastAsia="tr-TR"/>
        </w:rPr>
        <w:t>5.1 Cardiovascular Thrombotic Events</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Chronic use of celecoxib may cause an increased risk of serious adverse cardiovascular thrombotic events, myocardial infarction, and stroke, which can be fatal. In the APC (Adenoma Prevention with Celecoxib) trial, the hazard ratio for the composite endpoint of cardiovascular</w:t>
      </w:r>
      <w:r w:rsidRPr="0045530E">
        <w:rPr>
          <w:rFonts w:ascii="inherit" w:eastAsia="Times New Roman" w:hAnsi="inherit" w:cs="Arial"/>
          <w:color w:val="222222"/>
          <w:sz w:val="21"/>
          <w:szCs w:val="21"/>
          <w:lang w:eastAsia="tr-TR"/>
        </w:rPr>
        <w:br/>
        <w:t xml:space="preserve">death, MI, or stroke was </w:t>
      </w:r>
      <w:proofErr w:type="gramStart"/>
      <w:r w:rsidRPr="0045530E">
        <w:rPr>
          <w:rFonts w:ascii="inherit" w:eastAsia="Times New Roman" w:hAnsi="inherit" w:cs="Arial"/>
          <w:color w:val="222222"/>
          <w:sz w:val="21"/>
          <w:szCs w:val="21"/>
          <w:lang w:eastAsia="tr-TR"/>
        </w:rPr>
        <w:t>3.4</w:t>
      </w:r>
      <w:proofErr w:type="gramEnd"/>
      <w:r w:rsidRPr="0045530E">
        <w:rPr>
          <w:rFonts w:ascii="inherit" w:eastAsia="Times New Roman" w:hAnsi="inherit" w:cs="Arial"/>
          <w:color w:val="222222"/>
          <w:sz w:val="21"/>
          <w:szCs w:val="21"/>
          <w:lang w:eastAsia="tr-TR"/>
        </w:rPr>
        <w:t xml:space="preserve"> (95% CI 1.4 to 8.5) for celecoxib 400 mg twice daily and 2.8 (95% CI 1.1 to 7.2) with celecoxib 200 mg twice daily compared to placebo. Cumulative rates for this composite endpoint over 3 years were 3% (20/671 subjects) and </w:t>
      </w:r>
      <w:proofErr w:type="gramStart"/>
      <w:r w:rsidRPr="0045530E">
        <w:rPr>
          <w:rFonts w:ascii="inherit" w:eastAsia="Times New Roman" w:hAnsi="inherit" w:cs="Arial"/>
          <w:color w:val="222222"/>
          <w:sz w:val="21"/>
          <w:szCs w:val="21"/>
          <w:lang w:eastAsia="tr-TR"/>
        </w:rPr>
        <w:t>2.5</w:t>
      </w:r>
      <w:proofErr w:type="gramEnd"/>
      <w:r w:rsidRPr="0045530E">
        <w:rPr>
          <w:rFonts w:ascii="inherit" w:eastAsia="Times New Roman" w:hAnsi="inherit" w:cs="Arial"/>
          <w:color w:val="222222"/>
          <w:sz w:val="21"/>
          <w:szCs w:val="21"/>
          <w:lang w:eastAsia="tr-TR"/>
        </w:rPr>
        <w:t>% (17/685 subjects), respectively, compared to 0.9% (6/679 subjects) with placebo treatment. The increases in both celecoxib dose groups versus placebo-treated patients were mainly due to an increased incidence of myocardial infarction </w:t>
      </w:r>
      <w:r w:rsidRPr="0045530E">
        <w:rPr>
          <w:rFonts w:ascii="inherit" w:eastAsia="Times New Roman" w:hAnsi="inherit" w:cs="Arial"/>
          <w:i/>
          <w:iCs/>
          <w:color w:val="222222"/>
          <w:sz w:val="21"/>
          <w:szCs w:val="21"/>
          <w:bdr w:val="none" w:sz="0" w:space="0" w:color="auto" w:frame="1"/>
          <w:lang w:eastAsia="tr-TR"/>
        </w:rPr>
        <w:t>[see Clinical Studies (</w:t>
      </w:r>
      <w:proofErr w:type="gramStart"/>
      <w:r w:rsidRPr="0045530E">
        <w:rPr>
          <w:rFonts w:ascii="inherit" w:eastAsia="Times New Roman" w:hAnsi="inherit" w:cs="Arial"/>
          <w:i/>
          <w:iCs/>
          <w:color w:val="222222"/>
          <w:sz w:val="21"/>
          <w:szCs w:val="21"/>
          <w:bdr w:val="none" w:sz="0" w:space="0" w:color="auto" w:frame="1"/>
          <w:lang w:eastAsia="tr-TR"/>
        </w:rPr>
        <w:t>14.6</w:t>
      </w:r>
      <w:proofErr w:type="gramEnd"/>
      <w:r w:rsidRPr="0045530E">
        <w:rPr>
          <w:rFonts w:ascii="inherit" w:eastAsia="Times New Roman" w:hAnsi="inherit" w:cs="Arial"/>
          <w:i/>
          <w:iCs/>
          <w:color w:val="222222"/>
          <w:sz w:val="21"/>
          <w:szCs w:val="21"/>
          <w:bdr w:val="none" w:sz="0" w:space="0" w:color="auto" w:frame="1"/>
          <w:lang w:eastAsia="tr-TR"/>
        </w:rPr>
        <w:t>)].</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All NSAIDs, both COX-2 selective and non-selective, may have a similar risk. Patients with known CV disease or risk factors for CV disease may be at greater risk. To minimize the potential risk for an adverse CV event in patients treated with celecoxib, the lowest effective dose should be used for the shortest duration consistent with individual patient treatment goals. Physicians and patients should remain alert for the development of such events, even in the absence of previous CV symptoms. Patients should be informed about the signs and/or symptoms of serious CV toxicity and the steps to take if they occur.</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There is no consistent evidence that concurrent use of aspirin mitigates the increased risk of serious CV thrombotic events associated with NSAID use. The concurrent use of aspirin and celecoxib does increase the risk of serious GI events </w:t>
      </w:r>
      <w:r w:rsidRPr="0045530E">
        <w:rPr>
          <w:rFonts w:ascii="inherit" w:eastAsia="Times New Roman" w:hAnsi="inherit" w:cs="Arial"/>
          <w:i/>
          <w:iCs/>
          <w:color w:val="222222"/>
          <w:sz w:val="21"/>
          <w:szCs w:val="21"/>
          <w:bdr w:val="none" w:sz="0" w:space="0" w:color="auto" w:frame="1"/>
          <w:lang w:eastAsia="tr-TR"/>
        </w:rPr>
        <w:t>[see Warnings and Precautions (</w:t>
      </w:r>
      <w:proofErr w:type="gramStart"/>
      <w:r w:rsidRPr="0045530E">
        <w:rPr>
          <w:rFonts w:ascii="inherit" w:eastAsia="Times New Roman" w:hAnsi="inherit" w:cs="Arial"/>
          <w:i/>
          <w:iCs/>
          <w:color w:val="222222"/>
          <w:sz w:val="21"/>
          <w:szCs w:val="21"/>
          <w:bdr w:val="none" w:sz="0" w:space="0" w:color="auto" w:frame="1"/>
          <w:lang w:eastAsia="tr-TR"/>
        </w:rPr>
        <w:t>5.4</w:t>
      </w:r>
      <w:proofErr w:type="gramEnd"/>
      <w:r w:rsidRPr="0045530E">
        <w:rPr>
          <w:rFonts w:ascii="inherit" w:eastAsia="Times New Roman" w:hAnsi="inherit" w:cs="Arial"/>
          <w:i/>
          <w:iCs/>
          <w:color w:val="222222"/>
          <w:sz w:val="21"/>
          <w:szCs w:val="21"/>
          <w:bdr w:val="none" w:sz="0" w:space="0" w:color="auto" w:frame="1"/>
          <w:lang w:eastAsia="tr-TR"/>
        </w:rPr>
        <w:t>)].</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Two large, controlled, clinical trials of a different COX-2 selective NSAID for the treatment of pain in the first 10 to 14 days following CABG surgery found an increased incidence of myocardial infarction and stroke</w:t>
      </w:r>
      <w:r w:rsidRPr="0045530E">
        <w:rPr>
          <w:rFonts w:ascii="inherit" w:eastAsia="Times New Roman" w:hAnsi="inherit" w:cs="Arial"/>
          <w:i/>
          <w:iCs/>
          <w:color w:val="222222"/>
          <w:sz w:val="21"/>
          <w:szCs w:val="21"/>
          <w:bdr w:val="none" w:sz="0" w:space="0" w:color="auto" w:frame="1"/>
          <w:lang w:eastAsia="tr-TR"/>
        </w:rPr>
        <w:t> [see Contraindications (4)].</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39" w:name="L5de88106-047c-4ffb-b342-48ee6d53a767"/>
      <w:bookmarkStart w:id="40" w:name="section-5.2"/>
      <w:bookmarkEnd w:id="39"/>
      <w:bookmarkEnd w:id="40"/>
      <w:r w:rsidRPr="0045530E">
        <w:rPr>
          <w:rFonts w:ascii="inherit" w:eastAsia="Times New Roman" w:hAnsi="inherit" w:cs="Arial"/>
          <w:b/>
          <w:bCs/>
          <w:color w:val="222222"/>
          <w:sz w:val="36"/>
          <w:szCs w:val="36"/>
          <w:lang w:eastAsia="tr-TR"/>
        </w:rPr>
        <w:t>5.2 Hypertension</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 xml:space="preserve">As with all NSAIDs, celecoxib can lead to the onset of new hypertension or worsening of preexisting hypertension, either of which may contribute to the increased incidence of CV events. Patients taking thiazides or loop diuretics may have impaired response to these therapies when taking NSAIDs. NSAIDs, including celecoxib, should be used with caution in patients with hypertension. Blood pressure should be monitored closely during the initiation of therapy with celecoxib and throughout the course of therapy. The rates of hypertension from the CLASS trial in the celecoxib, ibuprofen and diclofenac-treated patients were </w:t>
      </w:r>
      <w:proofErr w:type="gramStart"/>
      <w:r w:rsidRPr="0045530E">
        <w:rPr>
          <w:rFonts w:ascii="inherit" w:eastAsia="Times New Roman" w:hAnsi="inherit" w:cs="Arial"/>
          <w:color w:val="222222"/>
          <w:sz w:val="21"/>
          <w:szCs w:val="21"/>
          <w:lang w:eastAsia="tr-TR"/>
        </w:rPr>
        <w:t>2.4</w:t>
      </w:r>
      <w:proofErr w:type="gramEnd"/>
      <w:r w:rsidRPr="0045530E">
        <w:rPr>
          <w:rFonts w:ascii="inherit" w:eastAsia="Times New Roman" w:hAnsi="inherit" w:cs="Arial"/>
          <w:color w:val="222222"/>
          <w:sz w:val="21"/>
          <w:szCs w:val="21"/>
          <w:lang w:eastAsia="tr-TR"/>
        </w:rPr>
        <w:t>%, 4.2% and 2.5%, respectively </w:t>
      </w:r>
      <w:r w:rsidRPr="0045530E">
        <w:rPr>
          <w:rFonts w:ascii="inherit" w:eastAsia="Times New Roman" w:hAnsi="inherit" w:cs="Arial"/>
          <w:i/>
          <w:iCs/>
          <w:color w:val="222222"/>
          <w:sz w:val="21"/>
          <w:szCs w:val="21"/>
          <w:bdr w:val="none" w:sz="0" w:space="0" w:color="auto" w:frame="1"/>
          <w:lang w:eastAsia="tr-TR"/>
        </w:rPr>
        <w:t>[see Clinical Studies (14.6)].</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41" w:name="L17d47670-73ea-40a9-ac91-51ba656b74c3"/>
      <w:bookmarkStart w:id="42" w:name="section-5.3"/>
      <w:bookmarkEnd w:id="41"/>
      <w:bookmarkEnd w:id="42"/>
      <w:r w:rsidRPr="0045530E">
        <w:rPr>
          <w:rFonts w:ascii="inherit" w:eastAsia="Times New Roman" w:hAnsi="inherit" w:cs="Arial"/>
          <w:b/>
          <w:bCs/>
          <w:color w:val="222222"/>
          <w:sz w:val="36"/>
          <w:szCs w:val="36"/>
          <w:lang w:eastAsia="tr-TR"/>
        </w:rPr>
        <w:t>5.3 Congestive Heart Failure and Edema</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Fluid retention and edema have been observed in some patients taking NSAIDs, including celecoxib </w:t>
      </w:r>
      <w:r w:rsidRPr="0045530E">
        <w:rPr>
          <w:rFonts w:ascii="inherit" w:eastAsia="Times New Roman" w:hAnsi="inherit" w:cs="Arial"/>
          <w:i/>
          <w:iCs/>
          <w:color w:val="222222"/>
          <w:sz w:val="21"/>
          <w:szCs w:val="21"/>
          <w:bdr w:val="none" w:sz="0" w:space="0" w:color="auto" w:frame="1"/>
          <w:lang w:eastAsia="tr-TR"/>
        </w:rPr>
        <w:t>[see Adverse Reactions (</w:t>
      </w:r>
      <w:proofErr w:type="gramStart"/>
      <w:r w:rsidRPr="0045530E">
        <w:rPr>
          <w:rFonts w:ascii="inherit" w:eastAsia="Times New Roman" w:hAnsi="inherit" w:cs="Arial"/>
          <w:i/>
          <w:iCs/>
          <w:color w:val="222222"/>
          <w:sz w:val="21"/>
          <w:szCs w:val="21"/>
          <w:bdr w:val="none" w:sz="0" w:space="0" w:color="auto" w:frame="1"/>
          <w:lang w:eastAsia="tr-TR"/>
        </w:rPr>
        <w:t>6.1</w:t>
      </w:r>
      <w:proofErr w:type="gramEnd"/>
      <w:r w:rsidRPr="0045530E">
        <w:rPr>
          <w:rFonts w:ascii="inherit" w:eastAsia="Times New Roman" w:hAnsi="inherit" w:cs="Arial"/>
          <w:i/>
          <w:iCs/>
          <w:color w:val="222222"/>
          <w:sz w:val="21"/>
          <w:szCs w:val="21"/>
          <w:bdr w:val="none" w:sz="0" w:space="0" w:color="auto" w:frame="1"/>
          <w:lang w:eastAsia="tr-TR"/>
        </w:rPr>
        <w:t>)]</w:t>
      </w:r>
      <w:r w:rsidRPr="0045530E">
        <w:rPr>
          <w:rFonts w:ascii="inherit" w:eastAsia="Times New Roman" w:hAnsi="inherit" w:cs="Arial"/>
          <w:color w:val="222222"/>
          <w:sz w:val="21"/>
          <w:szCs w:val="21"/>
          <w:lang w:eastAsia="tr-TR"/>
        </w:rPr>
        <w:t>. In the CLASS study [see Clinical Studies (</w:t>
      </w:r>
      <w:proofErr w:type="gramStart"/>
      <w:r w:rsidRPr="0045530E">
        <w:rPr>
          <w:rFonts w:ascii="inherit" w:eastAsia="Times New Roman" w:hAnsi="inherit" w:cs="Arial"/>
          <w:color w:val="222222"/>
          <w:sz w:val="21"/>
          <w:szCs w:val="21"/>
          <w:lang w:eastAsia="tr-TR"/>
        </w:rPr>
        <w:t>14.6</w:t>
      </w:r>
      <w:proofErr w:type="gramEnd"/>
      <w:r w:rsidRPr="0045530E">
        <w:rPr>
          <w:rFonts w:ascii="inherit" w:eastAsia="Times New Roman" w:hAnsi="inherit" w:cs="Arial"/>
          <w:color w:val="222222"/>
          <w:sz w:val="21"/>
          <w:szCs w:val="21"/>
          <w:lang w:eastAsia="tr-TR"/>
        </w:rPr>
        <w:t>)], the Kaplan-Meier cumulative rates at 9 months of peripheral edema in patients on celecoxib 400 mg twice daily (4-fold and 2-fold the recommended OA and RA doses, respectively), ibuprofen 800 mg three times daily and diclofenac 75 mg twice daily were 4.5%, 6.9% and 4.7%, respectively. Celecoxib should be used with caution in patients with fluid retention or heart failure.</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43" w:name="L95b816d8-60fc-4d46-a60d-2330dd281424"/>
      <w:bookmarkStart w:id="44" w:name="section-5.4"/>
      <w:bookmarkEnd w:id="43"/>
      <w:bookmarkEnd w:id="44"/>
      <w:r w:rsidRPr="0045530E">
        <w:rPr>
          <w:rFonts w:ascii="inherit" w:eastAsia="Times New Roman" w:hAnsi="inherit" w:cs="Arial"/>
          <w:b/>
          <w:bCs/>
          <w:color w:val="222222"/>
          <w:sz w:val="36"/>
          <w:szCs w:val="36"/>
          <w:lang w:eastAsia="tr-TR"/>
        </w:rPr>
        <w:t>5.4 Gastrointestinal (GI) Effects</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color w:val="222222"/>
          <w:sz w:val="21"/>
          <w:szCs w:val="21"/>
          <w:bdr w:val="none" w:sz="0" w:space="0" w:color="auto" w:frame="1"/>
          <w:lang w:eastAsia="tr-TR"/>
        </w:rPr>
        <w:t>Risk of GI Ulceration, Bleeding, and Perforation</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NSAIDs, including celecoxib, can cause serious gastrointestinal events including bleeding, ulceration, and perforation of the stomach, small intestine or large intestine, which can be fatal. These serious adverse events can occur at any time, with or without warning symptoms, in patients treated with NSAIDs. Only one in five patients who develop a serious upper GI adverse event on NSAID therapy is symptomatic. Complicated and symptomatic ulcer rates were 0.78% at nine months for all patients in the CLASS trial, and 2.19% for the subgroup on low-dose ASA. Patients 65 years of age and older had an incidence of 1.40% at nine months, 3.06% when also taking ASA </w:t>
      </w:r>
      <w:r w:rsidRPr="0045530E">
        <w:rPr>
          <w:rFonts w:ascii="inherit" w:eastAsia="Times New Roman" w:hAnsi="inherit" w:cs="Arial"/>
          <w:i/>
          <w:iCs/>
          <w:color w:val="222222"/>
          <w:sz w:val="21"/>
          <w:szCs w:val="21"/>
          <w:bdr w:val="none" w:sz="0" w:space="0" w:color="auto" w:frame="1"/>
          <w:lang w:eastAsia="tr-TR"/>
        </w:rPr>
        <w:t>[see Clinical Studies (</w:t>
      </w:r>
      <w:proofErr w:type="gramStart"/>
      <w:r w:rsidRPr="0045530E">
        <w:rPr>
          <w:rFonts w:ascii="inherit" w:eastAsia="Times New Roman" w:hAnsi="inherit" w:cs="Arial"/>
          <w:i/>
          <w:iCs/>
          <w:color w:val="222222"/>
          <w:sz w:val="21"/>
          <w:szCs w:val="21"/>
          <w:bdr w:val="none" w:sz="0" w:space="0" w:color="auto" w:frame="1"/>
          <w:lang w:eastAsia="tr-TR"/>
        </w:rPr>
        <w:t>14.6</w:t>
      </w:r>
      <w:proofErr w:type="gramEnd"/>
      <w:r w:rsidRPr="0045530E">
        <w:rPr>
          <w:rFonts w:ascii="inherit" w:eastAsia="Times New Roman" w:hAnsi="inherit" w:cs="Arial"/>
          <w:i/>
          <w:iCs/>
          <w:color w:val="222222"/>
          <w:sz w:val="21"/>
          <w:szCs w:val="21"/>
          <w:bdr w:val="none" w:sz="0" w:space="0" w:color="auto" w:frame="1"/>
          <w:lang w:eastAsia="tr-TR"/>
        </w:rPr>
        <w:t>)]</w:t>
      </w:r>
      <w:r w:rsidRPr="0045530E">
        <w:rPr>
          <w:rFonts w:ascii="inherit" w:eastAsia="Times New Roman" w:hAnsi="inherit" w:cs="Arial"/>
          <w:color w:val="222222"/>
          <w:sz w:val="21"/>
          <w:szCs w:val="21"/>
          <w:lang w:eastAsia="tr-TR"/>
        </w:rPr>
        <w:t xml:space="preserve">. With longer duration of use of NSAIDs, there is a </w:t>
      </w:r>
      <w:proofErr w:type="gramStart"/>
      <w:r w:rsidRPr="0045530E">
        <w:rPr>
          <w:rFonts w:ascii="inherit" w:eastAsia="Times New Roman" w:hAnsi="inherit" w:cs="Arial"/>
          <w:color w:val="222222"/>
          <w:sz w:val="21"/>
          <w:szCs w:val="21"/>
          <w:lang w:eastAsia="tr-TR"/>
        </w:rPr>
        <w:t>trend</w:t>
      </w:r>
      <w:proofErr w:type="gramEnd"/>
      <w:r w:rsidRPr="0045530E">
        <w:rPr>
          <w:rFonts w:ascii="inherit" w:eastAsia="Times New Roman" w:hAnsi="inherit" w:cs="Arial"/>
          <w:color w:val="222222"/>
          <w:sz w:val="21"/>
          <w:szCs w:val="21"/>
          <w:lang w:eastAsia="tr-TR"/>
        </w:rPr>
        <w:t xml:space="preserve"> for increasing the likelihood of developing a serious GI event at some time during the course of therapy. However, even short-term therapy is not without risk.</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NSAIDs should be prescribed with extreme caution in patients with a prior history of ulcer disease or gastrointestinal bleeding. Patients with a prior history of peptic ulcer disease and/or gastrointestinal bleeding who use NSAIDs have a greater than 10-fold increased risk for developing a GI bleed compared to patients with neither of these risk factors. Other factors that increase the risk of GI bleeding in patients treated with NSAIDs include concomitant use of oral corticosteroids or anticoagulants, longer duration of NSAID therapy, smoking, use of alcohol, older age, and poor general health status. Most spontaneous reports of fatal GI events are in elderly or debilitated patients and therefore special care should be taken in treating this population.</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To minimize the potential risk for an adverse GI event, the lowest effective dose should be used for the shortest duration consistent with individual patient treatment goals. Physicians and patients should remain alert for signs and symptoms of GI ulceration and bleeding during celecoxib therapy and promptly initiate additional evaluation and treatment if a serious GI adverse event is suspected. For high-risk patients, alternate therapies that do not involve NSAIDs should be considered.</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45" w:name="Lfda1fb18-f826-4da8-b9c1-eeb60d1f309e"/>
      <w:bookmarkStart w:id="46" w:name="section-5.5"/>
      <w:bookmarkEnd w:id="45"/>
      <w:bookmarkEnd w:id="46"/>
      <w:r w:rsidRPr="0045530E">
        <w:rPr>
          <w:rFonts w:ascii="inherit" w:eastAsia="Times New Roman" w:hAnsi="inherit" w:cs="Arial"/>
          <w:b/>
          <w:bCs/>
          <w:color w:val="222222"/>
          <w:sz w:val="36"/>
          <w:szCs w:val="36"/>
          <w:lang w:eastAsia="tr-TR"/>
        </w:rPr>
        <w:t>5.5 Hepatic Effects</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Borderline elevations of one or more liver-associated enzymes may occur in up to 15% of patients taking NSAIDs, and notable elevations of ALT or AST (approximately 3 or more times the upper limit of normal) have been reported in approximately 1% of patients in clinical trials with NSAIDs. These laboratory abnormalities may progress, may remain unchanged, or may be transient with continuing therapy. Rare cases of severe hepatic reactions, including jaundice and fatal fulminant hepatitis, liver necrosis and hepatic failure (some with fatal outcome) have been reported with NSAIDs, including celecoxib [see Adverse Reactions (</w:t>
      </w:r>
      <w:proofErr w:type="gramStart"/>
      <w:r w:rsidRPr="0045530E">
        <w:rPr>
          <w:rFonts w:ascii="inherit" w:eastAsia="Times New Roman" w:hAnsi="inherit" w:cs="Arial"/>
          <w:color w:val="222222"/>
          <w:sz w:val="21"/>
          <w:szCs w:val="21"/>
          <w:lang w:eastAsia="tr-TR"/>
        </w:rPr>
        <w:t>6.1</w:t>
      </w:r>
      <w:proofErr w:type="gramEnd"/>
      <w:r w:rsidRPr="0045530E">
        <w:rPr>
          <w:rFonts w:ascii="inherit" w:eastAsia="Times New Roman" w:hAnsi="inherit" w:cs="Arial"/>
          <w:color w:val="222222"/>
          <w:sz w:val="21"/>
          <w:szCs w:val="21"/>
          <w:lang w:eastAsia="tr-TR"/>
        </w:rPr>
        <w:t xml:space="preserve">)]. In controlled clinical trials of celecoxib, the incidence of borderline elevations (greater than or equal to </w:t>
      </w:r>
      <w:proofErr w:type="gramStart"/>
      <w:r w:rsidRPr="0045530E">
        <w:rPr>
          <w:rFonts w:ascii="inherit" w:eastAsia="Times New Roman" w:hAnsi="inherit" w:cs="Arial"/>
          <w:color w:val="222222"/>
          <w:sz w:val="21"/>
          <w:szCs w:val="21"/>
          <w:lang w:eastAsia="tr-TR"/>
        </w:rPr>
        <w:t>1.2</w:t>
      </w:r>
      <w:proofErr w:type="gramEnd"/>
      <w:r w:rsidRPr="0045530E">
        <w:rPr>
          <w:rFonts w:ascii="inherit" w:eastAsia="Times New Roman" w:hAnsi="inherit" w:cs="Arial"/>
          <w:color w:val="222222"/>
          <w:sz w:val="21"/>
          <w:szCs w:val="21"/>
          <w:lang w:eastAsia="tr-TR"/>
        </w:rPr>
        <w:t xml:space="preserve"> times and less than 3 times the upper limit of normal) of liver associated enzymes was 6% for celecoxib and 5% for placebo, and approximately 0.2% of patients taking celecoxib and 0.3% of patients taking placebo had notable elevations of ALT and AST.</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A patient with symptoms and/or signs suggesting liver dysfunction, or in whom an abnormal liver test has occurred, should be monitored carefully for evidence of the development of a more severe hepatic reaction while on therapy with celecoxib. If clinical signs and symptoms consistent with liver disease develop, or if systemic manifestations occur (e.g</w:t>
      </w:r>
      <w:proofErr w:type="gramStart"/>
      <w:r w:rsidRPr="0045530E">
        <w:rPr>
          <w:rFonts w:ascii="inherit" w:eastAsia="Times New Roman" w:hAnsi="inherit" w:cs="Arial"/>
          <w:color w:val="222222"/>
          <w:sz w:val="21"/>
          <w:szCs w:val="21"/>
          <w:lang w:eastAsia="tr-TR"/>
        </w:rPr>
        <w:t>.,</w:t>
      </w:r>
      <w:proofErr w:type="gramEnd"/>
      <w:r w:rsidRPr="0045530E">
        <w:rPr>
          <w:rFonts w:ascii="inherit" w:eastAsia="Times New Roman" w:hAnsi="inherit" w:cs="Arial"/>
          <w:color w:val="222222"/>
          <w:sz w:val="21"/>
          <w:szCs w:val="21"/>
          <w:lang w:eastAsia="tr-TR"/>
        </w:rPr>
        <w:t xml:space="preserve"> eosinophilia, rash, etc.), celecoxib should be discontinued.</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47" w:name="L8552e95a-bc19-42d0-ae4a-4e51ce63792c"/>
      <w:bookmarkStart w:id="48" w:name="section-5.6"/>
      <w:bookmarkEnd w:id="47"/>
      <w:bookmarkEnd w:id="48"/>
      <w:r w:rsidRPr="0045530E">
        <w:rPr>
          <w:rFonts w:ascii="inherit" w:eastAsia="Times New Roman" w:hAnsi="inherit" w:cs="Arial"/>
          <w:b/>
          <w:bCs/>
          <w:color w:val="222222"/>
          <w:sz w:val="36"/>
          <w:szCs w:val="36"/>
          <w:lang w:eastAsia="tr-TR"/>
        </w:rPr>
        <w:t>5.6 Renal Effects</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Long-term administration of NSAIDs has resulted in renal papillary necrosis and other renal injury. Renal toxicity has also been seen in patients in whom renal prostaglandins have a compensatory role in the maintenance of renal perfusion. In these patients, administration of an NSAID may cause a dose-dependent reduction in prostaglandin formation and, secondarily, in renal blood flow, which may precipitate overt renal decompensation. Patients at greatest risk of this reaction are those with impaired renal function, heart failure, liver dysfunction, those taking diuretics, ACE-inhibitors, angiotensin II receptor antagonists, and the elderly. Discontinuation of NSAID therapy is usually followed by recovery to the pretreatment state. Clinical trials with celecoxib have shown renal effects similar to those observed with comparator NSAIDs.</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No information is available from controlled clinical studies regarding the use of celecoxib in patients with advanced renal disease. Therefore, treatment with celecoxib is not recommended in these patients with advanced renal disease. If celecoxib therapy must be initiated, close monitoring of the patient's renal function is advisable.</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49" w:name="Led6eb2c9-061b-4362-a9c8-c264eb5ac69e"/>
      <w:bookmarkStart w:id="50" w:name="section-5.7"/>
      <w:bookmarkEnd w:id="49"/>
      <w:bookmarkEnd w:id="50"/>
      <w:r w:rsidRPr="0045530E">
        <w:rPr>
          <w:rFonts w:ascii="inherit" w:eastAsia="Times New Roman" w:hAnsi="inherit" w:cs="Arial"/>
          <w:b/>
          <w:bCs/>
          <w:color w:val="222222"/>
          <w:sz w:val="36"/>
          <w:szCs w:val="36"/>
          <w:lang w:eastAsia="tr-TR"/>
        </w:rPr>
        <w:t>5.7 Anaphylactoid Reactions</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As with NSAIDs in general, anaphylactoid reactions have occurred in patients without known prior exposure to celecoxib. In postmarketing experience, rare cases of anaphylactic reactions and angioedema have been reported in patients receiving celecoxib. Celecoxib should not be given to patients with the aspirin triad. This symptom complex typically occurs in asthmatic patients who experience rhinitis with or without nasal polyps, or who exhibit severe, potentially fatal bronchospasm after taking aspirin or other NSAIDs </w:t>
      </w:r>
      <w:r w:rsidRPr="0045530E">
        <w:rPr>
          <w:rFonts w:ascii="inherit" w:eastAsia="Times New Roman" w:hAnsi="inherit" w:cs="Arial"/>
          <w:i/>
          <w:iCs/>
          <w:color w:val="222222"/>
          <w:sz w:val="21"/>
          <w:szCs w:val="21"/>
          <w:bdr w:val="none" w:sz="0" w:space="0" w:color="auto" w:frame="1"/>
          <w:lang w:eastAsia="tr-TR"/>
        </w:rPr>
        <w:t>[see Contraindications (4), Warnings and Precautions (</w:t>
      </w:r>
      <w:proofErr w:type="gramStart"/>
      <w:r w:rsidRPr="0045530E">
        <w:rPr>
          <w:rFonts w:ascii="inherit" w:eastAsia="Times New Roman" w:hAnsi="inherit" w:cs="Arial"/>
          <w:i/>
          <w:iCs/>
          <w:color w:val="222222"/>
          <w:sz w:val="21"/>
          <w:szCs w:val="21"/>
          <w:bdr w:val="none" w:sz="0" w:space="0" w:color="auto" w:frame="1"/>
          <w:lang w:eastAsia="tr-TR"/>
        </w:rPr>
        <w:t>5.7</w:t>
      </w:r>
      <w:proofErr w:type="gramEnd"/>
      <w:r w:rsidRPr="0045530E">
        <w:rPr>
          <w:rFonts w:ascii="inherit" w:eastAsia="Times New Roman" w:hAnsi="inherit" w:cs="Arial"/>
          <w:i/>
          <w:iCs/>
          <w:color w:val="222222"/>
          <w:sz w:val="21"/>
          <w:szCs w:val="21"/>
          <w:bdr w:val="none" w:sz="0" w:space="0" w:color="auto" w:frame="1"/>
          <w:lang w:eastAsia="tr-TR"/>
        </w:rPr>
        <w:t>)].</w:t>
      </w:r>
      <w:r w:rsidRPr="0045530E">
        <w:rPr>
          <w:rFonts w:ascii="inherit" w:eastAsia="Times New Roman" w:hAnsi="inherit" w:cs="Arial"/>
          <w:color w:val="222222"/>
          <w:sz w:val="21"/>
          <w:szCs w:val="21"/>
          <w:lang w:eastAsia="tr-TR"/>
        </w:rPr>
        <w:t> Emergency help should be sought in cases where an anaphylactoid reaction occurs.</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51" w:name="Lfbabfd4e-d0d0-4904-ae30-8dbb4bf9ba76"/>
      <w:bookmarkStart w:id="52" w:name="section-5.8"/>
      <w:bookmarkEnd w:id="51"/>
      <w:bookmarkEnd w:id="52"/>
      <w:r w:rsidRPr="0045530E">
        <w:rPr>
          <w:rFonts w:ascii="inherit" w:eastAsia="Times New Roman" w:hAnsi="inherit" w:cs="Arial"/>
          <w:b/>
          <w:bCs/>
          <w:color w:val="222222"/>
          <w:sz w:val="36"/>
          <w:szCs w:val="36"/>
          <w:lang w:eastAsia="tr-TR"/>
        </w:rPr>
        <w:t>5.8 Skin Reactions</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Celecoxib is a sulfonamide and can cause serious skin adverse events such as exfoliative dermatitis, Stevens-Johnson syndrome (SJS), and toxic epidermal necrolysis (TEN), which can be fatal. These serious events can occur without warning and in patients without prior known sulfa allergy. Patients should be informed about the signs and symptoms of serious skin manifestations and use of the drug should be discontinued at the first appearance of skin rash or any other sign of hypersensitivity.</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53" w:name="Leba39deb-10b9-42a7-a91a-129e4393cf9e"/>
      <w:bookmarkStart w:id="54" w:name="section-5.9"/>
      <w:bookmarkEnd w:id="53"/>
      <w:bookmarkEnd w:id="54"/>
      <w:r w:rsidRPr="0045530E">
        <w:rPr>
          <w:rFonts w:ascii="inherit" w:eastAsia="Times New Roman" w:hAnsi="inherit" w:cs="Arial"/>
          <w:b/>
          <w:bCs/>
          <w:color w:val="222222"/>
          <w:sz w:val="36"/>
          <w:szCs w:val="36"/>
          <w:lang w:eastAsia="tr-TR"/>
        </w:rPr>
        <w:t>5.9 Pregnancy</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In late pregnancy, starting at 30 weeks gestation, celecoxib should be avoided because it may cause premature closure of the ductus arteriosus </w:t>
      </w:r>
      <w:r w:rsidRPr="0045530E">
        <w:rPr>
          <w:rFonts w:ascii="inherit" w:eastAsia="Times New Roman" w:hAnsi="inherit" w:cs="Arial"/>
          <w:i/>
          <w:iCs/>
          <w:color w:val="222222"/>
          <w:sz w:val="21"/>
          <w:szCs w:val="21"/>
          <w:bdr w:val="none" w:sz="0" w:space="0" w:color="auto" w:frame="1"/>
          <w:lang w:eastAsia="tr-TR"/>
        </w:rPr>
        <w:t>[see Use in Specific Populations (</w:t>
      </w:r>
      <w:proofErr w:type="gramStart"/>
      <w:r w:rsidRPr="0045530E">
        <w:rPr>
          <w:rFonts w:ascii="inherit" w:eastAsia="Times New Roman" w:hAnsi="inherit" w:cs="Arial"/>
          <w:i/>
          <w:iCs/>
          <w:color w:val="222222"/>
          <w:sz w:val="21"/>
          <w:szCs w:val="21"/>
          <w:bdr w:val="none" w:sz="0" w:space="0" w:color="auto" w:frame="1"/>
          <w:lang w:eastAsia="tr-TR"/>
        </w:rPr>
        <w:t>8.1</w:t>
      </w:r>
      <w:proofErr w:type="gramEnd"/>
      <w:r w:rsidRPr="0045530E">
        <w:rPr>
          <w:rFonts w:ascii="inherit" w:eastAsia="Times New Roman" w:hAnsi="inherit" w:cs="Arial"/>
          <w:i/>
          <w:iCs/>
          <w:color w:val="222222"/>
          <w:sz w:val="21"/>
          <w:szCs w:val="21"/>
          <w:bdr w:val="none" w:sz="0" w:space="0" w:color="auto" w:frame="1"/>
          <w:lang w:eastAsia="tr-TR"/>
        </w:rPr>
        <w:t>)].</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55" w:name="Ld7939b26-99b0-43ed-a0d8-f8759a26207c"/>
      <w:bookmarkStart w:id="56" w:name="section-5.10"/>
      <w:bookmarkEnd w:id="55"/>
      <w:bookmarkEnd w:id="56"/>
      <w:r w:rsidRPr="0045530E">
        <w:rPr>
          <w:rFonts w:ascii="inherit" w:eastAsia="Times New Roman" w:hAnsi="inherit" w:cs="Arial"/>
          <w:b/>
          <w:bCs/>
          <w:color w:val="222222"/>
          <w:sz w:val="36"/>
          <w:szCs w:val="36"/>
          <w:lang w:eastAsia="tr-TR"/>
        </w:rPr>
        <w:t>5.10 Corticosteroid Treatment</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Celecoxib cannot be expected to substitute for corticosteroids or to treat corticosteroid insufficiency. Abrupt discontinuation of corticosteroids may lead to exacerbation of corticosteroid-responsive illness. Patients on prolonged corticosteroid therapy should have their therapy tapered slowly if a decision is made to discontinue corticosteroids.</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57" w:name="L01412749-d9c9-4b11-a207-c7354cef7960"/>
      <w:bookmarkStart w:id="58" w:name="section-5.11"/>
      <w:bookmarkEnd w:id="57"/>
      <w:bookmarkEnd w:id="58"/>
      <w:r w:rsidRPr="0045530E">
        <w:rPr>
          <w:rFonts w:ascii="inherit" w:eastAsia="Times New Roman" w:hAnsi="inherit" w:cs="Arial"/>
          <w:b/>
          <w:bCs/>
          <w:color w:val="222222"/>
          <w:sz w:val="36"/>
          <w:szCs w:val="36"/>
          <w:lang w:eastAsia="tr-TR"/>
        </w:rPr>
        <w:t>5.11 Hematological Effects</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 xml:space="preserve">Anemia is sometimes seen in patients receiving celecoxib. In controlled clinical trials the incidence of anemia was </w:t>
      </w:r>
      <w:proofErr w:type="gramStart"/>
      <w:r w:rsidRPr="0045530E">
        <w:rPr>
          <w:rFonts w:ascii="inherit" w:eastAsia="Times New Roman" w:hAnsi="inherit" w:cs="Arial"/>
          <w:color w:val="222222"/>
          <w:sz w:val="21"/>
          <w:szCs w:val="21"/>
          <w:lang w:eastAsia="tr-TR"/>
        </w:rPr>
        <w:t>0.6</w:t>
      </w:r>
      <w:proofErr w:type="gramEnd"/>
      <w:r w:rsidRPr="0045530E">
        <w:rPr>
          <w:rFonts w:ascii="inherit" w:eastAsia="Times New Roman" w:hAnsi="inherit" w:cs="Arial"/>
          <w:color w:val="222222"/>
          <w:sz w:val="21"/>
          <w:szCs w:val="21"/>
          <w:lang w:eastAsia="tr-TR"/>
        </w:rPr>
        <w:t>% with celecoxib and 0.4% with placebo. Patients on long-term treatment with celecoxib should have their hemoglobin or hematocrit checked if they exhibit any signs or symptoms of anemia or blood loss. Celecoxib does not generally affect platelet counts, prothrombin time (PT), or partial thromboplastin time (PTT), and does not inhibit platelet aggregation at indicated dosages </w:t>
      </w:r>
      <w:r w:rsidRPr="0045530E">
        <w:rPr>
          <w:rFonts w:ascii="inherit" w:eastAsia="Times New Roman" w:hAnsi="inherit" w:cs="Arial"/>
          <w:i/>
          <w:iCs/>
          <w:color w:val="222222"/>
          <w:sz w:val="21"/>
          <w:szCs w:val="21"/>
          <w:bdr w:val="none" w:sz="0" w:space="0" w:color="auto" w:frame="1"/>
          <w:lang w:eastAsia="tr-TR"/>
        </w:rPr>
        <w:t>[see Clinical Pharmacology (</w:t>
      </w:r>
      <w:proofErr w:type="gramStart"/>
      <w:r w:rsidRPr="0045530E">
        <w:rPr>
          <w:rFonts w:ascii="inherit" w:eastAsia="Times New Roman" w:hAnsi="inherit" w:cs="Arial"/>
          <w:i/>
          <w:iCs/>
          <w:color w:val="222222"/>
          <w:sz w:val="21"/>
          <w:szCs w:val="21"/>
          <w:bdr w:val="none" w:sz="0" w:space="0" w:color="auto" w:frame="1"/>
          <w:lang w:eastAsia="tr-TR"/>
        </w:rPr>
        <w:t>12.2</w:t>
      </w:r>
      <w:proofErr w:type="gramEnd"/>
      <w:r w:rsidRPr="0045530E">
        <w:rPr>
          <w:rFonts w:ascii="inherit" w:eastAsia="Times New Roman" w:hAnsi="inherit" w:cs="Arial"/>
          <w:i/>
          <w:iCs/>
          <w:color w:val="222222"/>
          <w:sz w:val="21"/>
          <w:szCs w:val="21"/>
          <w:bdr w:val="none" w:sz="0" w:space="0" w:color="auto" w:frame="1"/>
          <w:lang w:eastAsia="tr-TR"/>
        </w:rPr>
        <w:t>)].</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59" w:name="L7c9ce199-6795-42ee-9b1a-d65b963b0d16"/>
      <w:bookmarkStart w:id="60" w:name="section-5.12"/>
      <w:bookmarkEnd w:id="59"/>
      <w:bookmarkEnd w:id="60"/>
      <w:r w:rsidRPr="0045530E">
        <w:rPr>
          <w:rFonts w:ascii="inherit" w:eastAsia="Times New Roman" w:hAnsi="inherit" w:cs="Arial"/>
          <w:b/>
          <w:bCs/>
          <w:color w:val="222222"/>
          <w:sz w:val="36"/>
          <w:szCs w:val="36"/>
          <w:lang w:eastAsia="tr-TR"/>
        </w:rPr>
        <w:t>5.12 Disseminated Intravascular Coagulation (DIC)</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Celecoxib should be used only with caution in pediatric patients with systemic onset JRA due to the risk of disseminated intravascular coagulation.</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61" w:name="L976726e4-18d4-4270-a0dd-33565ffc5a63"/>
      <w:bookmarkStart w:id="62" w:name="section-5.13"/>
      <w:bookmarkEnd w:id="61"/>
      <w:bookmarkEnd w:id="62"/>
      <w:r w:rsidRPr="0045530E">
        <w:rPr>
          <w:rFonts w:ascii="inherit" w:eastAsia="Times New Roman" w:hAnsi="inherit" w:cs="Arial"/>
          <w:b/>
          <w:bCs/>
          <w:color w:val="222222"/>
          <w:sz w:val="36"/>
          <w:szCs w:val="36"/>
          <w:lang w:eastAsia="tr-TR"/>
        </w:rPr>
        <w:t>5.13 Preexisting Asthma</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Patients with asthma may have aspirin-sensitive asthma. The use of aspirin in patients with aspirin-sensitive asthma has been associated with severe bronchospasm, which can be fatal. Since cross reactivity, including bronchospasm, between aspirin and other nonsteroidal antiinflammatory drugs has been reported in such aspirin-sensitive patients, celecoxib should not be administered to patients with this form of aspirin sensitivity and should be used with caution in patients with preexisting asthma.</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63" w:name="L0bab8f0f-d7a0-4661-a00a-d1ee251090fc"/>
      <w:bookmarkStart w:id="64" w:name="section-5.14"/>
      <w:bookmarkEnd w:id="63"/>
      <w:bookmarkEnd w:id="64"/>
      <w:r w:rsidRPr="0045530E">
        <w:rPr>
          <w:rFonts w:ascii="inherit" w:eastAsia="Times New Roman" w:hAnsi="inherit" w:cs="Arial"/>
          <w:b/>
          <w:bCs/>
          <w:color w:val="222222"/>
          <w:sz w:val="36"/>
          <w:szCs w:val="36"/>
          <w:lang w:eastAsia="tr-TR"/>
        </w:rPr>
        <w:t>5.14 Laboratory Tests</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 xml:space="preserve">Because serious GI tract ulcerations and bleeding can occur without warning symptoms, physicians should monitor for signs or symptoms of GI bleeding. Patients on long-term treatment with NSAIDs should have a CBC and a chemistry </w:t>
      </w:r>
      <w:proofErr w:type="gramStart"/>
      <w:r w:rsidRPr="0045530E">
        <w:rPr>
          <w:rFonts w:ascii="inherit" w:eastAsia="Times New Roman" w:hAnsi="inherit" w:cs="Arial"/>
          <w:color w:val="222222"/>
          <w:sz w:val="21"/>
          <w:szCs w:val="21"/>
          <w:lang w:eastAsia="tr-TR"/>
        </w:rPr>
        <w:t>profile</w:t>
      </w:r>
      <w:proofErr w:type="gramEnd"/>
      <w:r w:rsidRPr="0045530E">
        <w:rPr>
          <w:rFonts w:ascii="inherit" w:eastAsia="Times New Roman" w:hAnsi="inherit" w:cs="Arial"/>
          <w:color w:val="222222"/>
          <w:sz w:val="21"/>
          <w:szCs w:val="21"/>
          <w:lang w:eastAsia="tr-TR"/>
        </w:rPr>
        <w:t xml:space="preserve"> checked periodically. If abnormal liver tests or renal tests persist or worsen, celecoxib should be discontinued.</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In controlled clinical trials, elevated BUN occurred more frequently in patients receiving celecoxib compared with patients on placebo. This laboratory abnormality was also seen in patients who received comparator NSAIDs in these studies. The clinical significance of this abnormality has not been established.</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65" w:name="Lf50f7140-52ec-4a79-8d2e-59f9ff986422"/>
      <w:bookmarkStart w:id="66" w:name="section-5.15"/>
      <w:bookmarkEnd w:id="65"/>
      <w:bookmarkEnd w:id="66"/>
      <w:r w:rsidRPr="0045530E">
        <w:rPr>
          <w:rFonts w:ascii="inherit" w:eastAsia="Times New Roman" w:hAnsi="inherit" w:cs="Arial"/>
          <w:b/>
          <w:bCs/>
          <w:color w:val="222222"/>
          <w:sz w:val="36"/>
          <w:szCs w:val="36"/>
          <w:lang w:eastAsia="tr-TR"/>
        </w:rPr>
        <w:t>5.15 Inflammation</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The pharmacological activity of celecoxib in reducing inflammation, and possibly fever, may diminish the utility of these diagnostic signs in detecting infectious complications of presumed noninfectious, painful conditions.</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67" w:name="Lc070cc1a-cd4b-42d3-9216-ef2c083afc40"/>
      <w:bookmarkStart w:id="68" w:name="section-5.16"/>
      <w:bookmarkEnd w:id="67"/>
      <w:bookmarkEnd w:id="68"/>
      <w:r w:rsidRPr="0045530E">
        <w:rPr>
          <w:rFonts w:ascii="inherit" w:eastAsia="Times New Roman" w:hAnsi="inherit" w:cs="Arial"/>
          <w:b/>
          <w:bCs/>
          <w:color w:val="222222"/>
          <w:sz w:val="36"/>
          <w:szCs w:val="36"/>
          <w:lang w:eastAsia="tr-TR"/>
        </w:rPr>
        <w:t>5.16 Concomitant NSAID Use</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The concomitant use of celecoxib with any dose of a non-aspirin NSAID should be avoided due to the potential for increased risk of adverse reactions.</w:t>
      </w:r>
    </w:p>
    <w:p w:rsidR="0045530E" w:rsidRPr="0045530E" w:rsidRDefault="0045530E" w:rsidP="0045530E">
      <w:pPr>
        <w:shd w:val="clear" w:color="auto" w:fill="FFFFFF"/>
        <w:spacing w:after="75" w:line="240" w:lineRule="auto"/>
        <w:ind w:left="450"/>
        <w:textAlignment w:val="baseline"/>
        <w:rPr>
          <w:rFonts w:ascii="inherit" w:eastAsia="Times New Roman" w:hAnsi="inherit" w:cs="Arial"/>
          <w:color w:val="222222"/>
          <w:sz w:val="21"/>
          <w:szCs w:val="21"/>
          <w:lang w:eastAsia="tr-TR"/>
        </w:rPr>
      </w:pPr>
      <w:hyperlink r:id="rId146" w:history="1">
        <w:r w:rsidRPr="0045530E">
          <w:rPr>
            <w:rFonts w:ascii="Arial" w:eastAsia="Times New Roman" w:hAnsi="Arial" w:cs="Arial"/>
            <w:caps/>
            <w:color w:val="1D86BB"/>
            <w:sz w:val="18"/>
            <w:szCs w:val="18"/>
            <w:u w:val="single"/>
            <w:bdr w:val="none" w:sz="0" w:space="0" w:color="auto" w:frame="1"/>
            <w:lang w:eastAsia="tr-TR"/>
          </w:rPr>
          <w:t>CLOSE</w:t>
        </w:r>
      </w:hyperlink>
    </w:p>
    <w:p w:rsidR="0045530E" w:rsidRPr="0045530E" w:rsidRDefault="0045530E" w:rsidP="0045530E">
      <w:pPr>
        <w:numPr>
          <w:ilvl w:val="0"/>
          <w:numId w:val="9"/>
        </w:numPr>
        <w:shd w:val="clear" w:color="auto" w:fill="FFFFFF"/>
        <w:spacing w:after="0" w:line="240" w:lineRule="auto"/>
        <w:ind w:left="0"/>
        <w:textAlignment w:val="baseline"/>
        <w:rPr>
          <w:rFonts w:ascii="inherit" w:eastAsia="Times New Roman" w:hAnsi="inherit" w:cs="Arial"/>
          <w:color w:val="222222"/>
          <w:sz w:val="21"/>
          <w:szCs w:val="21"/>
          <w:lang w:eastAsia="tr-TR"/>
        </w:rPr>
      </w:pPr>
      <w:hyperlink r:id="rId147" w:history="1">
        <w:r w:rsidRPr="0045530E">
          <w:rPr>
            <w:rFonts w:ascii="Arial" w:eastAsia="Times New Roman" w:hAnsi="Arial" w:cs="Arial"/>
            <w:caps/>
            <w:color w:val="000000"/>
            <w:sz w:val="30"/>
            <w:szCs w:val="30"/>
            <w:u w:val="single"/>
            <w:bdr w:val="none" w:sz="0" w:space="0" w:color="auto" w:frame="1"/>
            <w:lang w:eastAsia="tr-TR"/>
          </w:rPr>
          <w:t>6. ADVERSE REACTIONS</w:t>
        </w:r>
      </w:hyperlink>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bookmarkStart w:id="69" w:name="Lb37240e1-0de9-4cc3-98d1-756bd804f389"/>
      <w:bookmarkStart w:id="70" w:name="section-6"/>
      <w:bookmarkEnd w:id="69"/>
      <w:bookmarkEnd w:id="70"/>
      <w:r w:rsidRPr="0045530E">
        <w:rPr>
          <w:rFonts w:ascii="inherit" w:eastAsia="Times New Roman" w:hAnsi="inherit" w:cs="Arial"/>
          <w:color w:val="222222"/>
          <w:sz w:val="21"/>
          <w:szCs w:val="21"/>
          <w:lang w:eastAsia="tr-TR"/>
        </w:rPr>
        <w:t>Of the celecoxib-treated patients in the pre-</w:t>
      </w:r>
      <w:proofErr w:type="gramStart"/>
      <w:r w:rsidRPr="0045530E">
        <w:rPr>
          <w:rFonts w:ascii="inherit" w:eastAsia="Times New Roman" w:hAnsi="inherit" w:cs="Arial"/>
          <w:color w:val="222222"/>
          <w:sz w:val="21"/>
          <w:szCs w:val="21"/>
          <w:lang w:eastAsia="tr-TR"/>
        </w:rPr>
        <w:t>marketing</w:t>
      </w:r>
      <w:proofErr w:type="gramEnd"/>
      <w:r w:rsidRPr="0045530E">
        <w:rPr>
          <w:rFonts w:ascii="inherit" w:eastAsia="Times New Roman" w:hAnsi="inherit" w:cs="Arial"/>
          <w:color w:val="222222"/>
          <w:sz w:val="21"/>
          <w:szCs w:val="21"/>
          <w:lang w:eastAsia="tr-TR"/>
        </w:rPr>
        <w:t xml:space="preserve"> controlled clinical trials, approximately 4,250 were patients with OA, approximately 2,100 were patients with RA, and approximately 1,050 were patients with post-surgical pain. More than 8,500 patients received a total daily dose of celecoxib of 200 mg (100 mg twice daily or 200 mg once daily) or more, including more than 400 treated at 800 mg (400 mg twice daily). Approximately 3,900 patients received celecoxib at these doses for 6 months or more; approximately 2,300 of these have received it for 1 year or more and 124 of these have received it for 2 years or more.</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Because clinical trials are conducted under widely varying conditions, adverse reaction rates observed in the clinical trials of a drug cannot be directly compared to rates in the clinical trials of another drug and may not reflect the rates observed in practice. The adverse reaction information from clinical trials does, however, provide a basis for identifying the adverse events that appear to be related to drug use and for approximating rates.</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71" w:name="L4e8d5f20-00a0-4c6c-9978-b3dff44af455"/>
      <w:bookmarkStart w:id="72" w:name="section-6.1"/>
      <w:bookmarkEnd w:id="71"/>
      <w:bookmarkEnd w:id="72"/>
      <w:r w:rsidRPr="0045530E">
        <w:rPr>
          <w:rFonts w:ascii="inherit" w:eastAsia="Times New Roman" w:hAnsi="inherit" w:cs="Arial"/>
          <w:b/>
          <w:bCs/>
          <w:color w:val="222222"/>
          <w:sz w:val="36"/>
          <w:szCs w:val="36"/>
          <w:lang w:eastAsia="tr-TR"/>
        </w:rPr>
        <w:t>6.1 Pre-</w:t>
      </w:r>
      <w:proofErr w:type="gramStart"/>
      <w:r w:rsidRPr="0045530E">
        <w:rPr>
          <w:rFonts w:ascii="inherit" w:eastAsia="Times New Roman" w:hAnsi="inherit" w:cs="Arial"/>
          <w:b/>
          <w:bCs/>
          <w:color w:val="222222"/>
          <w:sz w:val="36"/>
          <w:szCs w:val="36"/>
          <w:lang w:eastAsia="tr-TR"/>
        </w:rPr>
        <w:t>marketing</w:t>
      </w:r>
      <w:proofErr w:type="gramEnd"/>
      <w:r w:rsidRPr="0045530E">
        <w:rPr>
          <w:rFonts w:ascii="inherit" w:eastAsia="Times New Roman" w:hAnsi="inherit" w:cs="Arial"/>
          <w:b/>
          <w:bCs/>
          <w:color w:val="222222"/>
          <w:sz w:val="36"/>
          <w:szCs w:val="36"/>
          <w:lang w:eastAsia="tr-TR"/>
        </w:rPr>
        <w:t xml:space="preserve"> Controlled Arthritis Trials</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Table 1 lists all adverse events, regardless of causality, occurring in </w:t>
      </w:r>
      <w:r w:rsidRPr="0045530E">
        <w:rPr>
          <w:rFonts w:ascii="inherit" w:eastAsia="Times New Roman" w:hAnsi="inherit" w:cs="Arial"/>
          <w:color w:val="222222"/>
          <w:sz w:val="21"/>
          <w:szCs w:val="21"/>
          <w:u w:val="single"/>
          <w:bdr w:val="none" w:sz="0" w:space="0" w:color="auto" w:frame="1"/>
          <w:lang w:eastAsia="tr-TR"/>
        </w:rPr>
        <w:t>&gt;</w:t>
      </w:r>
      <w:r w:rsidRPr="0045530E">
        <w:rPr>
          <w:rFonts w:ascii="inherit" w:eastAsia="Times New Roman" w:hAnsi="inherit" w:cs="Arial"/>
          <w:color w:val="222222"/>
          <w:sz w:val="21"/>
          <w:szCs w:val="21"/>
          <w:lang w:eastAsia="tr-TR"/>
        </w:rPr>
        <w:t>2% of patients receiving celecoxib from 12 controlled studies conducted in patients with OA or RA that included a placebo and/or a positive control group. Since these 12 trials were of different durations, and patients in the trials may not have been exposed for the same duration of time, these percentages do not capture cumulative rates of occurrence.</w:t>
      </w:r>
    </w:p>
    <w:p w:rsidR="0045530E" w:rsidRPr="0045530E" w:rsidRDefault="0045530E" w:rsidP="0045530E">
      <w:pPr>
        <w:shd w:val="clear" w:color="auto" w:fill="FFFFFF"/>
        <w:spacing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color w:val="222222"/>
          <w:sz w:val="21"/>
          <w:szCs w:val="21"/>
          <w:bdr w:val="none" w:sz="0" w:space="0" w:color="auto" w:frame="1"/>
          <w:lang w:eastAsia="tr-TR"/>
        </w:rPr>
        <w:t>Table 1: Adverse Events Occurring in </w:t>
      </w:r>
      <w:r w:rsidRPr="0045530E">
        <w:rPr>
          <w:rFonts w:ascii="inherit" w:eastAsia="Times New Roman" w:hAnsi="inherit" w:cs="Arial"/>
          <w:b/>
          <w:bCs/>
          <w:color w:val="222222"/>
          <w:sz w:val="21"/>
          <w:szCs w:val="21"/>
          <w:u w:val="single"/>
          <w:bdr w:val="none" w:sz="0" w:space="0" w:color="auto" w:frame="1"/>
          <w:lang w:eastAsia="tr-TR"/>
        </w:rPr>
        <w:t>&gt;</w:t>
      </w:r>
      <w:r w:rsidRPr="0045530E">
        <w:rPr>
          <w:rFonts w:ascii="inherit" w:eastAsia="Times New Roman" w:hAnsi="inherit" w:cs="Arial"/>
          <w:b/>
          <w:bCs/>
          <w:color w:val="222222"/>
          <w:sz w:val="21"/>
          <w:szCs w:val="21"/>
          <w:bdr w:val="none" w:sz="0" w:space="0" w:color="auto" w:frame="1"/>
          <w:lang w:eastAsia="tr-TR"/>
        </w:rPr>
        <w:t>2% of Celecoxib Patients from Pre-</w:t>
      </w:r>
      <w:proofErr w:type="gramStart"/>
      <w:r w:rsidRPr="0045530E">
        <w:rPr>
          <w:rFonts w:ascii="inherit" w:eastAsia="Times New Roman" w:hAnsi="inherit" w:cs="Arial"/>
          <w:b/>
          <w:bCs/>
          <w:color w:val="222222"/>
          <w:sz w:val="21"/>
          <w:szCs w:val="21"/>
          <w:bdr w:val="none" w:sz="0" w:space="0" w:color="auto" w:frame="1"/>
          <w:lang w:eastAsia="tr-TR"/>
        </w:rPr>
        <w:t>marketing</w:t>
      </w:r>
      <w:proofErr w:type="gramEnd"/>
      <w:r w:rsidRPr="0045530E">
        <w:rPr>
          <w:rFonts w:ascii="inherit" w:eastAsia="Times New Roman" w:hAnsi="inherit" w:cs="Arial"/>
          <w:b/>
          <w:bCs/>
          <w:color w:val="222222"/>
          <w:sz w:val="21"/>
          <w:szCs w:val="21"/>
          <w:bdr w:val="none" w:sz="0" w:space="0" w:color="auto" w:frame="1"/>
          <w:lang w:eastAsia="tr-TR"/>
        </w:rPr>
        <w:t xml:space="preserve"> Controlled Arthritis Trials</w:t>
      </w:r>
    </w:p>
    <w:tbl>
      <w:tblPr>
        <w:tblW w:w="5000" w:type="pct"/>
        <w:tblCellMar>
          <w:left w:w="0" w:type="dxa"/>
          <w:right w:w="0" w:type="dxa"/>
        </w:tblCellMar>
        <w:tblLook w:val="04A0" w:firstRow="1" w:lastRow="0" w:firstColumn="1" w:lastColumn="0" w:noHBand="0" w:noVBand="1"/>
      </w:tblPr>
      <w:tblGrid>
        <w:gridCol w:w="3396"/>
        <w:gridCol w:w="1284"/>
        <w:gridCol w:w="1284"/>
        <w:gridCol w:w="1284"/>
        <w:gridCol w:w="1002"/>
        <w:gridCol w:w="1002"/>
      </w:tblGrid>
      <w:tr w:rsidR="0045530E" w:rsidRPr="0045530E" w:rsidTr="0045530E">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p>
        </w:tc>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sz w:val="24"/>
                <w:szCs w:val="24"/>
                <w:bdr w:val="none" w:sz="0" w:space="0" w:color="auto" w:frame="1"/>
                <w:lang w:eastAsia="tr-TR"/>
              </w:rPr>
              <w:t>CBX</w:t>
            </w:r>
            <w:r w:rsidRPr="0045530E">
              <w:rPr>
                <w:rFonts w:ascii="inherit" w:eastAsia="Times New Roman" w:hAnsi="inherit" w:cs="Times New Roman"/>
                <w:sz w:val="24"/>
                <w:szCs w:val="24"/>
                <w:lang w:eastAsia="tr-TR"/>
              </w:rPr>
              <w:t> </w:t>
            </w:r>
            <w:r w:rsidRPr="0045530E">
              <w:rPr>
                <w:rFonts w:ascii="inherit" w:eastAsia="Times New Roman" w:hAnsi="inherit" w:cs="Times New Roman"/>
                <w:sz w:val="24"/>
                <w:szCs w:val="24"/>
                <w:lang w:eastAsia="tr-TR"/>
              </w:rPr>
              <w:br/>
            </w:r>
            <w:r w:rsidRPr="0045530E">
              <w:rPr>
                <w:rFonts w:ascii="inherit" w:eastAsia="Times New Roman" w:hAnsi="inherit" w:cs="Times New Roman"/>
                <w:b/>
                <w:bCs/>
                <w:sz w:val="24"/>
                <w:szCs w:val="24"/>
                <w:bdr w:val="none" w:sz="0" w:space="0" w:color="auto" w:frame="1"/>
                <w:lang w:eastAsia="tr-TR"/>
              </w:rPr>
              <w:t>N=4, 146</w:t>
            </w:r>
          </w:p>
        </w:tc>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sz w:val="24"/>
                <w:szCs w:val="24"/>
                <w:bdr w:val="none" w:sz="0" w:space="0" w:color="auto" w:frame="1"/>
                <w:lang w:eastAsia="tr-TR"/>
              </w:rPr>
              <w:t>Placebo</w:t>
            </w:r>
            <w:r w:rsidRPr="0045530E">
              <w:rPr>
                <w:rFonts w:ascii="inherit" w:eastAsia="Times New Roman" w:hAnsi="inherit" w:cs="Times New Roman"/>
                <w:sz w:val="24"/>
                <w:szCs w:val="24"/>
                <w:lang w:eastAsia="tr-TR"/>
              </w:rPr>
              <w:t> </w:t>
            </w:r>
            <w:r w:rsidRPr="0045530E">
              <w:rPr>
                <w:rFonts w:ascii="inherit" w:eastAsia="Times New Roman" w:hAnsi="inherit" w:cs="Times New Roman"/>
                <w:sz w:val="24"/>
                <w:szCs w:val="24"/>
                <w:lang w:eastAsia="tr-TR"/>
              </w:rPr>
              <w:br/>
            </w:r>
            <w:r w:rsidRPr="0045530E">
              <w:rPr>
                <w:rFonts w:ascii="inherit" w:eastAsia="Times New Roman" w:hAnsi="inherit" w:cs="Times New Roman"/>
                <w:b/>
                <w:bCs/>
                <w:sz w:val="24"/>
                <w:szCs w:val="24"/>
                <w:bdr w:val="none" w:sz="0" w:space="0" w:color="auto" w:frame="1"/>
                <w:lang w:eastAsia="tr-TR"/>
              </w:rPr>
              <w:t>N=1, 864</w:t>
            </w:r>
          </w:p>
        </w:tc>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sz w:val="24"/>
                <w:szCs w:val="24"/>
                <w:bdr w:val="none" w:sz="0" w:space="0" w:color="auto" w:frame="1"/>
                <w:lang w:eastAsia="tr-TR"/>
              </w:rPr>
              <w:t>NAP</w:t>
            </w:r>
            <w:r w:rsidRPr="0045530E">
              <w:rPr>
                <w:rFonts w:ascii="inherit" w:eastAsia="Times New Roman" w:hAnsi="inherit" w:cs="Times New Roman"/>
                <w:sz w:val="24"/>
                <w:szCs w:val="24"/>
                <w:lang w:eastAsia="tr-TR"/>
              </w:rPr>
              <w:t> </w:t>
            </w:r>
            <w:r w:rsidRPr="0045530E">
              <w:rPr>
                <w:rFonts w:ascii="inherit" w:eastAsia="Times New Roman" w:hAnsi="inherit" w:cs="Times New Roman"/>
                <w:sz w:val="24"/>
                <w:szCs w:val="24"/>
                <w:lang w:eastAsia="tr-TR"/>
              </w:rPr>
              <w:br/>
            </w:r>
            <w:r w:rsidRPr="0045530E">
              <w:rPr>
                <w:rFonts w:ascii="inherit" w:eastAsia="Times New Roman" w:hAnsi="inherit" w:cs="Times New Roman"/>
                <w:b/>
                <w:bCs/>
                <w:sz w:val="24"/>
                <w:szCs w:val="24"/>
                <w:bdr w:val="none" w:sz="0" w:space="0" w:color="auto" w:frame="1"/>
                <w:lang w:eastAsia="tr-TR"/>
              </w:rPr>
              <w:t>N=1, 366</w:t>
            </w:r>
          </w:p>
        </w:tc>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sz w:val="24"/>
                <w:szCs w:val="24"/>
                <w:bdr w:val="none" w:sz="0" w:space="0" w:color="auto" w:frame="1"/>
                <w:lang w:eastAsia="tr-TR"/>
              </w:rPr>
              <w:t>DCF</w:t>
            </w:r>
            <w:r w:rsidRPr="0045530E">
              <w:rPr>
                <w:rFonts w:ascii="inherit" w:eastAsia="Times New Roman" w:hAnsi="inherit" w:cs="Times New Roman"/>
                <w:sz w:val="24"/>
                <w:szCs w:val="24"/>
                <w:lang w:eastAsia="tr-TR"/>
              </w:rPr>
              <w:t> </w:t>
            </w:r>
            <w:r w:rsidRPr="0045530E">
              <w:rPr>
                <w:rFonts w:ascii="inherit" w:eastAsia="Times New Roman" w:hAnsi="inherit" w:cs="Times New Roman"/>
                <w:sz w:val="24"/>
                <w:szCs w:val="24"/>
                <w:lang w:eastAsia="tr-TR"/>
              </w:rPr>
              <w:br/>
            </w:r>
            <w:r w:rsidRPr="0045530E">
              <w:rPr>
                <w:rFonts w:ascii="inherit" w:eastAsia="Times New Roman" w:hAnsi="inherit" w:cs="Times New Roman"/>
                <w:b/>
                <w:bCs/>
                <w:sz w:val="24"/>
                <w:szCs w:val="24"/>
                <w:bdr w:val="none" w:sz="0" w:space="0" w:color="auto" w:frame="1"/>
                <w:lang w:eastAsia="tr-TR"/>
              </w:rPr>
              <w:t>N=387</w:t>
            </w:r>
          </w:p>
        </w:tc>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sz w:val="24"/>
                <w:szCs w:val="24"/>
                <w:bdr w:val="none" w:sz="0" w:space="0" w:color="auto" w:frame="1"/>
                <w:lang w:eastAsia="tr-TR"/>
              </w:rPr>
              <w:t>IBU</w:t>
            </w:r>
            <w:r w:rsidRPr="0045530E">
              <w:rPr>
                <w:rFonts w:ascii="inherit" w:eastAsia="Times New Roman" w:hAnsi="inherit" w:cs="Times New Roman"/>
                <w:sz w:val="24"/>
                <w:szCs w:val="24"/>
                <w:lang w:eastAsia="tr-TR"/>
              </w:rPr>
              <w:t> </w:t>
            </w:r>
            <w:r w:rsidRPr="0045530E">
              <w:rPr>
                <w:rFonts w:ascii="inherit" w:eastAsia="Times New Roman" w:hAnsi="inherit" w:cs="Times New Roman"/>
                <w:sz w:val="24"/>
                <w:szCs w:val="24"/>
                <w:lang w:eastAsia="tr-TR"/>
              </w:rPr>
              <w:br/>
            </w:r>
            <w:r w:rsidRPr="0045530E">
              <w:rPr>
                <w:rFonts w:ascii="inherit" w:eastAsia="Times New Roman" w:hAnsi="inherit" w:cs="Times New Roman"/>
                <w:b/>
                <w:bCs/>
                <w:sz w:val="24"/>
                <w:szCs w:val="24"/>
                <w:bdr w:val="none" w:sz="0" w:space="0" w:color="auto" w:frame="1"/>
                <w:lang w:eastAsia="tr-TR"/>
              </w:rPr>
              <w:t>N=345</w:t>
            </w:r>
          </w:p>
        </w:tc>
      </w:tr>
      <w:tr w:rsidR="0045530E" w:rsidRPr="0045530E" w:rsidTr="0045530E">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sz w:val="24"/>
                <w:szCs w:val="24"/>
                <w:bdr w:val="none" w:sz="0" w:space="0" w:color="auto" w:frame="1"/>
                <w:lang w:eastAsia="tr-TR"/>
              </w:rPr>
              <w:t>Gastrointestinal</w:t>
            </w:r>
            <w:r w:rsidRPr="0045530E">
              <w:rPr>
                <w:rFonts w:ascii="inherit" w:eastAsia="Times New Roman" w:hAnsi="inherit" w:cs="Times New Roman"/>
                <w:sz w:val="24"/>
                <w:szCs w:val="24"/>
                <w:lang w:eastAsia="tr-TR"/>
              </w:rPr>
              <w:t> </w:t>
            </w:r>
            <w:r w:rsidRPr="0045530E">
              <w:rPr>
                <w:rFonts w:ascii="inherit" w:eastAsia="Times New Roman" w:hAnsi="inherit" w:cs="Times New Roman"/>
                <w:sz w:val="24"/>
                <w:szCs w:val="24"/>
                <w:lang w:eastAsia="tr-TR"/>
              </w:rPr>
              <w:br/>
              <w:t>Abdominal Pain</w:t>
            </w:r>
            <w:r w:rsidRPr="0045530E">
              <w:rPr>
                <w:rFonts w:ascii="inherit" w:eastAsia="Times New Roman" w:hAnsi="inherit" w:cs="Times New Roman"/>
                <w:sz w:val="24"/>
                <w:szCs w:val="24"/>
                <w:lang w:eastAsia="tr-TR"/>
              </w:rPr>
              <w:br/>
              <w:t>Diarrhea</w:t>
            </w:r>
            <w:r w:rsidRPr="0045530E">
              <w:rPr>
                <w:rFonts w:ascii="inherit" w:eastAsia="Times New Roman" w:hAnsi="inherit" w:cs="Times New Roman"/>
                <w:sz w:val="24"/>
                <w:szCs w:val="24"/>
                <w:lang w:eastAsia="tr-TR"/>
              </w:rPr>
              <w:br/>
              <w:t>Dyspepsia</w:t>
            </w:r>
            <w:r w:rsidRPr="0045530E">
              <w:rPr>
                <w:rFonts w:ascii="inherit" w:eastAsia="Times New Roman" w:hAnsi="inherit" w:cs="Times New Roman"/>
                <w:sz w:val="24"/>
                <w:szCs w:val="24"/>
                <w:lang w:eastAsia="tr-TR"/>
              </w:rPr>
              <w:br/>
              <w:t>Flatulence</w:t>
            </w:r>
            <w:r w:rsidRPr="0045530E">
              <w:rPr>
                <w:rFonts w:ascii="inherit" w:eastAsia="Times New Roman" w:hAnsi="inherit" w:cs="Times New Roman"/>
                <w:sz w:val="24"/>
                <w:szCs w:val="24"/>
                <w:lang w:eastAsia="tr-TR"/>
              </w:rPr>
              <w:br/>
              <w:t>Nausea</w:t>
            </w:r>
          </w:p>
        </w:tc>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4.1%</w:t>
            </w:r>
            <w:r w:rsidRPr="0045530E">
              <w:rPr>
                <w:rFonts w:ascii="inherit" w:eastAsia="Times New Roman" w:hAnsi="inherit" w:cs="Times New Roman"/>
                <w:sz w:val="24"/>
                <w:szCs w:val="24"/>
                <w:lang w:eastAsia="tr-TR"/>
              </w:rPr>
              <w:br/>
            </w:r>
            <w:proofErr w:type="gramStart"/>
            <w:r w:rsidRPr="0045530E">
              <w:rPr>
                <w:rFonts w:ascii="inherit" w:eastAsia="Times New Roman" w:hAnsi="inherit" w:cs="Times New Roman"/>
                <w:sz w:val="24"/>
                <w:szCs w:val="24"/>
                <w:lang w:eastAsia="tr-TR"/>
              </w:rPr>
              <w:t>5.6</w:t>
            </w:r>
            <w:proofErr w:type="gramEnd"/>
            <w:r w:rsidRPr="0045530E">
              <w:rPr>
                <w:rFonts w:ascii="inherit" w:eastAsia="Times New Roman" w:hAnsi="inherit" w:cs="Times New Roman"/>
                <w:sz w:val="24"/>
                <w:szCs w:val="24"/>
                <w:lang w:eastAsia="tr-TR"/>
              </w:rPr>
              <w:t>%</w:t>
            </w:r>
            <w:r w:rsidRPr="0045530E">
              <w:rPr>
                <w:rFonts w:ascii="inherit" w:eastAsia="Times New Roman" w:hAnsi="inherit" w:cs="Times New Roman"/>
                <w:sz w:val="24"/>
                <w:szCs w:val="24"/>
                <w:lang w:eastAsia="tr-TR"/>
              </w:rPr>
              <w:br/>
              <w:t>8.8%</w:t>
            </w:r>
            <w:r w:rsidRPr="0045530E">
              <w:rPr>
                <w:rFonts w:ascii="inherit" w:eastAsia="Times New Roman" w:hAnsi="inherit" w:cs="Times New Roman"/>
                <w:sz w:val="24"/>
                <w:szCs w:val="24"/>
                <w:lang w:eastAsia="tr-TR"/>
              </w:rPr>
              <w:br/>
              <w:t>2.2%</w:t>
            </w:r>
            <w:r w:rsidRPr="0045530E">
              <w:rPr>
                <w:rFonts w:ascii="inherit" w:eastAsia="Times New Roman" w:hAnsi="inherit" w:cs="Times New Roman"/>
                <w:sz w:val="24"/>
                <w:szCs w:val="24"/>
                <w:lang w:eastAsia="tr-TR"/>
              </w:rPr>
              <w:br/>
              <w:t>3.5%</w:t>
            </w:r>
          </w:p>
        </w:tc>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2.8%</w:t>
            </w:r>
            <w:r w:rsidRPr="0045530E">
              <w:rPr>
                <w:rFonts w:ascii="inherit" w:eastAsia="Times New Roman" w:hAnsi="inherit" w:cs="Times New Roman"/>
                <w:sz w:val="24"/>
                <w:szCs w:val="24"/>
                <w:lang w:eastAsia="tr-TR"/>
              </w:rPr>
              <w:br/>
            </w:r>
            <w:proofErr w:type="gramStart"/>
            <w:r w:rsidRPr="0045530E">
              <w:rPr>
                <w:rFonts w:ascii="inherit" w:eastAsia="Times New Roman" w:hAnsi="inherit" w:cs="Times New Roman"/>
                <w:sz w:val="24"/>
                <w:szCs w:val="24"/>
                <w:lang w:eastAsia="tr-TR"/>
              </w:rPr>
              <w:t>3.8</w:t>
            </w:r>
            <w:proofErr w:type="gramEnd"/>
            <w:r w:rsidRPr="0045530E">
              <w:rPr>
                <w:rFonts w:ascii="inherit" w:eastAsia="Times New Roman" w:hAnsi="inherit" w:cs="Times New Roman"/>
                <w:sz w:val="24"/>
                <w:szCs w:val="24"/>
                <w:lang w:eastAsia="tr-TR"/>
              </w:rPr>
              <w:t>%</w:t>
            </w:r>
            <w:r w:rsidRPr="0045530E">
              <w:rPr>
                <w:rFonts w:ascii="inherit" w:eastAsia="Times New Roman" w:hAnsi="inherit" w:cs="Times New Roman"/>
                <w:sz w:val="24"/>
                <w:szCs w:val="24"/>
                <w:lang w:eastAsia="tr-TR"/>
              </w:rPr>
              <w:br/>
              <w:t>6.2%</w:t>
            </w:r>
            <w:r w:rsidRPr="0045530E">
              <w:rPr>
                <w:rFonts w:ascii="inherit" w:eastAsia="Times New Roman" w:hAnsi="inherit" w:cs="Times New Roman"/>
                <w:sz w:val="24"/>
                <w:szCs w:val="24"/>
                <w:lang w:eastAsia="tr-TR"/>
              </w:rPr>
              <w:br/>
              <w:t>1%</w:t>
            </w:r>
            <w:r w:rsidRPr="0045530E">
              <w:rPr>
                <w:rFonts w:ascii="inherit" w:eastAsia="Times New Roman" w:hAnsi="inherit" w:cs="Times New Roman"/>
                <w:sz w:val="24"/>
                <w:szCs w:val="24"/>
                <w:lang w:eastAsia="tr-TR"/>
              </w:rPr>
              <w:br/>
              <w:t>4.2%</w:t>
            </w:r>
          </w:p>
        </w:tc>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7.7%</w:t>
            </w:r>
            <w:r w:rsidRPr="0045530E">
              <w:rPr>
                <w:rFonts w:ascii="inherit" w:eastAsia="Times New Roman" w:hAnsi="inherit" w:cs="Times New Roman"/>
                <w:sz w:val="24"/>
                <w:szCs w:val="24"/>
                <w:lang w:eastAsia="tr-TR"/>
              </w:rPr>
              <w:br/>
            </w:r>
            <w:proofErr w:type="gramStart"/>
            <w:r w:rsidRPr="0045530E">
              <w:rPr>
                <w:rFonts w:ascii="inherit" w:eastAsia="Times New Roman" w:hAnsi="inherit" w:cs="Times New Roman"/>
                <w:sz w:val="24"/>
                <w:szCs w:val="24"/>
                <w:lang w:eastAsia="tr-TR"/>
              </w:rPr>
              <w:t>5.3</w:t>
            </w:r>
            <w:proofErr w:type="gramEnd"/>
            <w:r w:rsidRPr="0045530E">
              <w:rPr>
                <w:rFonts w:ascii="inherit" w:eastAsia="Times New Roman" w:hAnsi="inherit" w:cs="Times New Roman"/>
                <w:sz w:val="24"/>
                <w:szCs w:val="24"/>
                <w:lang w:eastAsia="tr-TR"/>
              </w:rPr>
              <w:t>%</w:t>
            </w:r>
            <w:r w:rsidRPr="0045530E">
              <w:rPr>
                <w:rFonts w:ascii="inherit" w:eastAsia="Times New Roman" w:hAnsi="inherit" w:cs="Times New Roman"/>
                <w:sz w:val="24"/>
                <w:szCs w:val="24"/>
                <w:lang w:eastAsia="tr-TR"/>
              </w:rPr>
              <w:br/>
              <w:t>12.2%</w:t>
            </w:r>
            <w:r w:rsidRPr="0045530E">
              <w:rPr>
                <w:rFonts w:ascii="inherit" w:eastAsia="Times New Roman" w:hAnsi="inherit" w:cs="Times New Roman"/>
                <w:sz w:val="24"/>
                <w:szCs w:val="24"/>
                <w:lang w:eastAsia="tr-TR"/>
              </w:rPr>
              <w:br/>
              <w:t>3.6%</w:t>
            </w:r>
            <w:r w:rsidRPr="0045530E">
              <w:rPr>
                <w:rFonts w:ascii="inherit" w:eastAsia="Times New Roman" w:hAnsi="inherit" w:cs="Times New Roman"/>
                <w:sz w:val="24"/>
                <w:szCs w:val="24"/>
                <w:lang w:eastAsia="tr-TR"/>
              </w:rPr>
              <w:br/>
              <w:t>6%</w:t>
            </w:r>
          </w:p>
        </w:tc>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9%</w:t>
            </w:r>
            <w:r w:rsidRPr="0045530E">
              <w:rPr>
                <w:rFonts w:ascii="inherit" w:eastAsia="Times New Roman" w:hAnsi="inherit" w:cs="Times New Roman"/>
                <w:sz w:val="24"/>
                <w:szCs w:val="24"/>
                <w:lang w:eastAsia="tr-TR"/>
              </w:rPr>
              <w:br/>
            </w:r>
            <w:proofErr w:type="gramStart"/>
            <w:r w:rsidRPr="0045530E">
              <w:rPr>
                <w:rFonts w:ascii="inherit" w:eastAsia="Times New Roman" w:hAnsi="inherit" w:cs="Times New Roman"/>
                <w:sz w:val="24"/>
                <w:szCs w:val="24"/>
                <w:lang w:eastAsia="tr-TR"/>
              </w:rPr>
              <w:t>9.3</w:t>
            </w:r>
            <w:proofErr w:type="gramEnd"/>
            <w:r w:rsidRPr="0045530E">
              <w:rPr>
                <w:rFonts w:ascii="inherit" w:eastAsia="Times New Roman" w:hAnsi="inherit" w:cs="Times New Roman"/>
                <w:sz w:val="24"/>
                <w:szCs w:val="24"/>
                <w:lang w:eastAsia="tr-TR"/>
              </w:rPr>
              <w:t>%</w:t>
            </w:r>
            <w:r w:rsidRPr="0045530E">
              <w:rPr>
                <w:rFonts w:ascii="inherit" w:eastAsia="Times New Roman" w:hAnsi="inherit" w:cs="Times New Roman"/>
                <w:sz w:val="24"/>
                <w:szCs w:val="24"/>
                <w:lang w:eastAsia="tr-TR"/>
              </w:rPr>
              <w:br/>
              <w:t>10.9%</w:t>
            </w:r>
            <w:r w:rsidRPr="0045530E">
              <w:rPr>
                <w:rFonts w:ascii="inherit" w:eastAsia="Times New Roman" w:hAnsi="inherit" w:cs="Times New Roman"/>
                <w:sz w:val="24"/>
                <w:szCs w:val="24"/>
                <w:lang w:eastAsia="tr-TR"/>
              </w:rPr>
              <w:br/>
              <w:t>4.1%</w:t>
            </w:r>
            <w:r w:rsidRPr="0045530E">
              <w:rPr>
                <w:rFonts w:ascii="inherit" w:eastAsia="Times New Roman" w:hAnsi="inherit" w:cs="Times New Roman"/>
                <w:sz w:val="24"/>
                <w:szCs w:val="24"/>
                <w:lang w:eastAsia="tr-TR"/>
              </w:rPr>
              <w:br/>
              <w:t>3.4%</w:t>
            </w:r>
          </w:p>
        </w:tc>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9%</w:t>
            </w:r>
            <w:r w:rsidRPr="0045530E">
              <w:rPr>
                <w:rFonts w:ascii="inherit" w:eastAsia="Times New Roman" w:hAnsi="inherit" w:cs="Times New Roman"/>
                <w:sz w:val="24"/>
                <w:szCs w:val="24"/>
                <w:lang w:eastAsia="tr-TR"/>
              </w:rPr>
              <w:br/>
            </w:r>
            <w:proofErr w:type="gramStart"/>
            <w:r w:rsidRPr="0045530E">
              <w:rPr>
                <w:rFonts w:ascii="inherit" w:eastAsia="Times New Roman" w:hAnsi="inherit" w:cs="Times New Roman"/>
                <w:sz w:val="24"/>
                <w:szCs w:val="24"/>
                <w:lang w:eastAsia="tr-TR"/>
              </w:rPr>
              <w:t>5.8</w:t>
            </w:r>
            <w:proofErr w:type="gramEnd"/>
            <w:r w:rsidRPr="0045530E">
              <w:rPr>
                <w:rFonts w:ascii="inherit" w:eastAsia="Times New Roman" w:hAnsi="inherit" w:cs="Times New Roman"/>
                <w:sz w:val="24"/>
                <w:szCs w:val="24"/>
                <w:lang w:eastAsia="tr-TR"/>
              </w:rPr>
              <w:t>%</w:t>
            </w:r>
            <w:r w:rsidRPr="0045530E">
              <w:rPr>
                <w:rFonts w:ascii="inherit" w:eastAsia="Times New Roman" w:hAnsi="inherit" w:cs="Times New Roman"/>
                <w:sz w:val="24"/>
                <w:szCs w:val="24"/>
                <w:lang w:eastAsia="tr-TR"/>
              </w:rPr>
              <w:br/>
              <w:t>12.8%</w:t>
            </w:r>
            <w:r w:rsidRPr="0045530E">
              <w:rPr>
                <w:rFonts w:ascii="inherit" w:eastAsia="Times New Roman" w:hAnsi="inherit" w:cs="Times New Roman"/>
                <w:sz w:val="24"/>
                <w:szCs w:val="24"/>
                <w:lang w:eastAsia="tr-TR"/>
              </w:rPr>
              <w:br/>
              <w:t>3.5%</w:t>
            </w:r>
            <w:r w:rsidRPr="0045530E">
              <w:rPr>
                <w:rFonts w:ascii="inherit" w:eastAsia="Times New Roman" w:hAnsi="inherit" w:cs="Times New Roman"/>
                <w:sz w:val="24"/>
                <w:szCs w:val="24"/>
                <w:lang w:eastAsia="tr-TR"/>
              </w:rPr>
              <w:br/>
              <w:t>6.7%</w:t>
            </w:r>
          </w:p>
        </w:tc>
      </w:tr>
      <w:tr w:rsidR="0045530E" w:rsidRPr="0045530E" w:rsidTr="0045530E">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sz w:val="24"/>
                <w:szCs w:val="24"/>
                <w:bdr w:val="none" w:sz="0" w:space="0" w:color="auto" w:frame="1"/>
                <w:lang w:eastAsia="tr-TR"/>
              </w:rPr>
              <w:t>Body as a whole</w:t>
            </w:r>
            <w:r w:rsidRPr="0045530E">
              <w:rPr>
                <w:rFonts w:ascii="inherit" w:eastAsia="Times New Roman" w:hAnsi="inherit" w:cs="Times New Roman"/>
                <w:sz w:val="24"/>
                <w:szCs w:val="24"/>
                <w:lang w:eastAsia="tr-TR"/>
              </w:rPr>
              <w:t> </w:t>
            </w:r>
            <w:r w:rsidRPr="0045530E">
              <w:rPr>
                <w:rFonts w:ascii="inherit" w:eastAsia="Times New Roman" w:hAnsi="inherit" w:cs="Times New Roman"/>
                <w:sz w:val="24"/>
                <w:szCs w:val="24"/>
                <w:lang w:eastAsia="tr-TR"/>
              </w:rPr>
              <w:br/>
              <w:t>Back Pain</w:t>
            </w:r>
            <w:r w:rsidRPr="0045530E">
              <w:rPr>
                <w:rFonts w:ascii="inherit" w:eastAsia="Times New Roman" w:hAnsi="inherit" w:cs="Times New Roman"/>
                <w:sz w:val="24"/>
                <w:szCs w:val="24"/>
                <w:lang w:eastAsia="tr-TR"/>
              </w:rPr>
              <w:br/>
              <w:t>Peripheral Edema</w:t>
            </w:r>
            <w:r w:rsidRPr="0045530E">
              <w:rPr>
                <w:rFonts w:ascii="inherit" w:eastAsia="Times New Roman" w:hAnsi="inherit" w:cs="Times New Roman"/>
                <w:sz w:val="24"/>
                <w:szCs w:val="24"/>
                <w:lang w:eastAsia="tr-TR"/>
              </w:rPr>
              <w:br/>
              <w:t>Injury-Accidental</w:t>
            </w:r>
          </w:p>
        </w:tc>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2.8%</w:t>
            </w:r>
            <w:r w:rsidRPr="0045530E">
              <w:rPr>
                <w:rFonts w:ascii="inherit" w:eastAsia="Times New Roman" w:hAnsi="inherit" w:cs="Times New Roman"/>
                <w:sz w:val="24"/>
                <w:szCs w:val="24"/>
                <w:lang w:eastAsia="tr-TR"/>
              </w:rPr>
              <w:br/>
            </w:r>
            <w:proofErr w:type="gramStart"/>
            <w:r w:rsidRPr="0045530E">
              <w:rPr>
                <w:rFonts w:ascii="inherit" w:eastAsia="Times New Roman" w:hAnsi="inherit" w:cs="Times New Roman"/>
                <w:sz w:val="24"/>
                <w:szCs w:val="24"/>
                <w:lang w:eastAsia="tr-TR"/>
              </w:rPr>
              <w:t>2.1</w:t>
            </w:r>
            <w:proofErr w:type="gramEnd"/>
            <w:r w:rsidRPr="0045530E">
              <w:rPr>
                <w:rFonts w:ascii="inherit" w:eastAsia="Times New Roman" w:hAnsi="inherit" w:cs="Times New Roman"/>
                <w:sz w:val="24"/>
                <w:szCs w:val="24"/>
                <w:lang w:eastAsia="tr-TR"/>
              </w:rPr>
              <w:t>%</w:t>
            </w:r>
            <w:r w:rsidRPr="0045530E">
              <w:rPr>
                <w:rFonts w:ascii="inherit" w:eastAsia="Times New Roman" w:hAnsi="inherit" w:cs="Times New Roman"/>
                <w:sz w:val="24"/>
                <w:szCs w:val="24"/>
                <w:lang w:eastAsia="tr-TR"/>
              </w:rPr>
              <w:br/>
              <w:t>2.9%</w:t>
            </w:r>
          </w:p>
        </w:tc>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3.6%</w:t>
            </w:r>
            <w:r w:rsidRPr="0045530E">
              <w:rPr>
                <w:rFonts w:ascii="inherit" w:eastAsia="Times New Roman" w:hAnsi="inherit" w:cs="Times New Roman"/>
                <w:sz w:val="24"/>
                <w:szCs w:val="24"/>
                <w:lang w:eastAsia="tr-TR"/>
              </w:rPr>
              <w:br/>
            </w:r>
            <w:proofErr w:type="gramStart"/>
            <w:r w:rsidRPr="0045530E">
              <w:rPr>
                <w:rFonts w:ascii="inherit" w:eastAsia="Times New Roman" w:hAnsi="inherit" w:cs="Times New Roman"/>
                <w:sz w:val="24"/>
                <w:szCs w:val="24"/>
                <w:lang w:eastAsia="tr-TR"/>
              </w:rPr>
              <w:t>1.1</w:t>
            </w:r>
            <w:proofErr w:type="gramEnd"/>
            <w:r w:rsidRPr="0045530E">
              <w:rPr>
                <w:rFonts w:ascii="inherit" w:eastAsia="Times New Roman" w:hAnsi="inherit" w:cs="Times New Roman"/>
                <w:sz w:val="24"/>
                <w:szCs w:val="24"/>
                <w:lang w:eastAsia="tr-TR"/>
              </w:rPr>
              <w:t>%</w:t>
            </w:r>
            <w:r w:rsidRPr="0045530E">
              <w:rPr>
                <w:rFonts w:ascii="inherit" w:eastAsia="Times New Roman" w:hAnsi="inherit" w:cs="Times New Roman"/>
                <w:sz w:val="24"/>
                <w:szCs w:val="24"/>
                <w:lang w:eastAsia="tr-TR"/>
              </w:rPr>
              <w:br/>
              <w:t>2.3%</w:t>
            </w:r>
          </w:p>
        </w:tc>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2.2%</w:t>
            </w:r>
            <w:r w:rsidRPr="0045530E">
              <w:rPr>
                <w:rFonts w:ascii="inherit" w:eastAsia="Times New Roman" w:hAnsi="inherit" w:cs="Times New Roman"/>
                <w:sz w:val="24"/>
                <w:szCs w:val="24"/>
                <w:lang w:eastAsia="tr-TR"/>
              </w:rPr>
              <w:br/>
            </w:r>
            <w:proofErr w:type="gramStart"/>
            <w:r w:rsidRPr="0045530E">
              <w:rPr>
                <w:rFonts w:ascii="inherit" w:eastAsia="Times New Roman" w:hAnsi="inherit" w:cs="Times New Roman"/>
                <w:sz w:val="24"/>
                <w:szCs w:val="24"/>
                <w:lang w:eastAsia="tr-TR"/>
              </w:rPr>
              <w:t>2.1</w:t>
            </w:r>
            <w:proofErr w:type="gramEnd"/>
            <w:r w:rsidRPr="0045530E">
              <w:rPr>
                <w:rFonts w:ascii="inherit" w:eastAsia="Times New Roman" w:hAnsi="inherit" w:cs="Times New Roman"/>
                <w:sz w:val="24"/>
                <w:szCs w:val="24"/>
                <w:lang w:eastAsia="tr-TR"/>
              </w:rPr>
              <w:t>%</w:t>
            </w:r>
            <w:r w:rsidRPr="0045530E">
              <w:rPr>
                <w:rFonts w:ascii="inherit" w:eastAsia="Times New Roman" w:hAnsi="inherit" w:cs="Times New Roman"/>
                <w:sz w:val="24"/>
                <w:szCs w:val="24"/>
                <w:lang w:eastAsia="tr-TR"/>
              </w:rPr>
              <w:br/>
              <w:t>3%</w:t>
            </w:r>
          </w:p>
        </w:tc>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2.6%</w:t>
            </w:r>
            <w:r w:rsidRPr="0045530E">
              <w:rPr>
                <w:rFonts w:ascii="inherit" w:eastAsia="Times New Roman" w:hAnsi="inherit" w:cs="Times New Roman"/>
                <w:sz w:val="24"/>
                <w:szCs w:val="24"/>
                <w:lang w:eastAsia="tr-TR"/>
              </w:rPr>
              <w:br/>
              <w:t>1%</w:t>
            </w:r>
            <w:r w:rsidRPr="0045530E">
              <w:rPr>
                <w:rFonts w:ascii="inherit" w:eastAsia="Times New Roman" w:hAnsi="inherit" w:cs="Times New Roman"/>
                <w:sz w:val="24"/>
                <w:szCs w:val="24"/>
                <w:lang w:eastAsia="tr-TR"/>
              </w:rPr>
              <w:br/>
            </w:r>
            <w:proofErr w:type="gramStart"/>
            <w:r w:rsidRPr="0045530E">
              <w:rPr>
                <w:rFonts w:ascii="inherit" w:eastAsia="Times New Roman" w:hAnsi="inherit" w:cs="Times New Roman"/>
                <w:sz w:val="24"/>
                <w:szCs w:val="24"/>
                <w:lang w:eastAsia="tr-TR"/>
              </w:rPr>
              <w:t>2.6</w:t>
            </w:r>
            <w:proofErr w:type="gramEnd"/>
            <w:r w:rsidRPr="0045530E">
              <w:rPr>
                <w:rFonts w:ascii="inherit" w:eastAsia="Times New Roman" w:hAnsi="inherit" w:cs="Times New Roman"/>
                <w:sz w:val="24"/>
                <w:szCs w:val="24"/>
                <w:lang w:eastAsia="tr-TR"/>
              </w:rPr>
              <w:t>%</w:t>
            </w:r>
          </w:p>
        </w:tc>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0.9%</w:t>
            </w:r>
            <w:r w:rsidRPr="0045530E">
              <w:rPr>
                <w:rFonts w:ascii="inherit" w:eastAsia="Times New Roman" w:hAnsi="inherit" w:cs="Times New Roman"/>
                <w:sz w:val="24"/>
                <w:szCs w:val="24"/>
                <w:lang w:eastAsia="tr-TR"/>
              </w:rPr>
              <w:br/>
            </w:r>
            <w:proofErr w:type="gramStart"/>
            <w:r w:rsidRPr="0045530E">
              <w:rPr>
                <w:rFonts w:ascii="inherit" w:eastAsia="Times New Roman" w:hAnsi="inherit" w:cs="Times New Roman"/>
                <w:sz w:val="24"/>
                <w:szCs w:val="24"/>
                <w:lang w:eastAsia="tr-TR"/>
              </w:rPr>
              <w:t>3.5</w:t>
            </w:r>
            <w:proofErr w:type="gramEnd"/>
            <w:r w:rsidRPr="0045530E">
              <w:rPr>
                <w:rFonts w:ascii="inherit" w:eastAsia="Times New Roman" w:hAnsi="inherit" w:cs="Times New Roman"/>
                <w:sz w:val="24"/>
                <w:szCs w:val="24"/>
                <w:lang w:eastAsia="tr-TR"/>
              </w:rPr>
              <w:t>%</w:t>
            </w:r>
            <w:r w:rsidRPr="0045530E">
              <w:rPr>
                <w:rFonts w:ascii="inherit" w:eastAsia="Times New Roman" w:hAnsi="inherit" w:cs="Times New Roman"/>
                <w:sz w:val="24"/>
                <w:szCs w:val="24"/>
                <w:lang w:eastAsia="tr-TR"/>
              </w:rPr>
              <w:br/>
              <w:t>3.2%</w:t>
            </w:r>
          </w:p>
        </w:tc>
      </w:tr>
      <w:tr w:rsidR="0045530E" w:rsidRPr="0045530E" w:rsidTr="0045530E">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sz w:val="24"/>
                <w:szCs w:val="24"/>
                <w:bdr w:val="none" w:sz="0" w:space="0" w:color="auto" w:frame="1"/>
                <w:lang w:eastAsia="tr-TR"/>
              </w:rPr>
              <w:t>Central, Peripheral</w:t>
            </w:r>
            <w:r w:rsidRPr="0045530E">
              <w:rPr>
                <w:rFonts w:ascii="inherit" w:eastAsia="Times New Roman" w:hAnsi="inherit" w:cs="Times New Roman"/>
                <w:sz w:val="24"/>
                <w:szCs w:val="24"/>
                <w:lang w:eastAsia="tr-TR"/>
              </w:rPr>
              <w:t> </w:t>
            </w:r>
            <w:r w:rsidRPr="0045530E">
              <w:rPr>
                <w:rFonts w:ascii="inherit" w:eastAsia="Times New Roman" w:hAnsi="inherit" w:cs="Times New Roman"/>
                <w:sz w:val="24"/>
                <w:szCs w:val="24"/>
                <w:lang w:eastAsia="tr-TR"/>
              </w:rPr>
              <w:br/>
              <w:t>Nervous system</w:t>
            </w:r>
            <w:r w:rsidRPr="0045530E">
              <w:rPr>
                <w:rFonts w:ascii="inherit" w:eastAsia="Times New Roman" w:hAnsi="inherit" w:cs="Times New Roman"/>
                <w:sz w:val="24"/>
                <w:szCs w:val="24"/>
                <w:lang w:eastAsia="tr-TR"/>
              </w:rPr>
              <w:br/>
              <w:t>Dizziness</w:t>
            </w:r>
            <w:r w:rsidRPr="0045530E">
              <w:rPr>
                <w:rFonts w:ascii="inherit" w:eastAsia="Times New Roman" w:hAnsi="inherit" w:cs="Times New Roman"/>
                <w:sz w:val="24"/>
                <w:szCs w:val="24"/>
                <w:lang w:eastAsia="tr-TR"/>
              </w:rPr>
              <w:br/>
              <w:t>Headache</w:t>
            </w:r>
          </w:p>
        </w:tc>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2%</w:t>
            </w:r>
            <w:r w:rsidRPr="0045530E">
              <w:rPr>
                <w:rFonts w:ascii="inherit" w:eastAsia="Times New Roman" w:hAnsi="inherit" w:cs="Times New Roman"/>
                <w:sz w:val="24"/>
                <w:szCs w:val="24"/>
                <w:lang w:eastAsia="tr-TR"/>
              </w:rPr>
              <w:br/>
            </w:r>
            <w:proofErr w:type="gramStart"/>
            <w:r w:rsidRPr="0045530E">
              <w:rPr>
                <w:rFonts w:ascii="inherit" w:eastAsia="Times New Roman" w:hAnsi="inherit" w:cs="Times New Roman"/>
                <w:sz w:val="24"/>
                <w:szCs w:val="24"/>
                <w:lang w:eastAsia="tr-TR"/>
              </w:rPr>
              <w:t>15.8</w:t>
            </w:r>
            <w:proofErr w:type="gramEnd"/>
            <w:r w:rsidRPr="0045530E">
              <w:rPr>
                <w:rFonts w:ascii="inherit" w:eastAsia="Times New Roman" w:hAnsi="inherit" w:cs="Times New Roman"/>
                <w:sz w:val="24"/>
                <w:szCs w:val="24"/>
                <w:lang w:eastAsia="tr-TR"/>
              </w:rPr>
              <w:t>%</w:t>
            </w:r>
          </w:p>
        </w:tc>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1.7%</w:t>
            </w:r>
            <w:r w:rsidRPr="0045530E">
              <w:rPr>
                <w:rFonts w:ascii="inherit" w:eastAsia="Times New Roman" w:hAnsi="inherit" w:cs="Times New Roman"/>
                <w:sz w:val="24"/>
                <w:szCs w:val="24"/>
                <w:lang w:eastAsia="tr-TR"/>
              </w:rPr>
              <w:br/>
            </w:r>
            <w:proofErr w:type="gramStart"/>
            <w:r w:rsidRPr="0045530E">
              <w:rPr>
                <w:rFonts w:ascii="inherit" w:eastAsia="Times New Roman" w:hAnsi="inherit" w:cs="Times New Roman"/>
                <w:sz w:val="24"/>
                <w:szCs w:val="24"/>
                <w:lang w:eastAsia="tr-TR"/>
              </w:rPr>
              <w:t>20.2</w:t>
            </w:r>
            <w:proofErr w:type="gramEnd"/>
            <w:r w:rsidRPr="0045530E">
              <w:rPr>
                <w:rFonts w:ascii="inherit" w:eastAsia="Times New Roman" w:hAnsi="inherit" w:cs="Times New Roman"/>
                <w:sz w:val="24"/>
                <w:szCs w:val="24"/>
                <w:lang w:eastAsia="tr-TR"/>
              </w:rPr>
              <w:t>%</w:t>
            </w:r>
          </w:p>
        </w:tc>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2.6%</w:t>
            </w:r>
            <w:r w:rsidRPr="0045530E">
              <w:rPr>
                <w:rFonts w:ascii="inherit" w:eastAsia="Times New Roman" w:hAnsi="inherit" w:cs="Times New Roman"/>
                <w:sz w:val="24"/>
                <w:szCs w:val="24"/>
                <w:lang w:eastAsia="tr-TR"/>
              </w:rPr>
              <w:br/>
            </w:r>
            <w:proofErr w:type="gramStart"/>
            <w:r w:rsidRPr="0045530E">
              <w:rPr>
                <w:rFonts w:ascii="inherit" w:eastAsia="Times New Roman" w:hAnsi="inherit" w:cs="Times New Roman"/>
                <w:sz w:val="24"/>
                <w:szCs w:val="24"/>
                <w:lang w:eastAsia="tr-TR"/>
              </w:rPr>
              <w:t>14.5</w:t>
            </w:r>
            <w:proofErr w:type="gramEnd"/>
            <w:r w:rsidRPr="0045530E">
              <w:rPr>
                <w:rFonts w:ascii="inherit" w:eastAsia="Times New Roman" w:hAnsi="inherit" w:cs="Times New Roman"/>
                <w:sz w:val="24"/>
                <w:szCs w:val="24"/>
                <w:lang w:eastAsia="tr-TR"/>
              </w:rPr>
              <w:t>% </w:t>
            </w:r>
          </w:p>
        </w:tc>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1.3%</w:t>
            </w:r>
            <w:r w:rsidRPr="0045530E">
              <w:rPr>
                <w:rFonts w:ascii="inherit" w:eastAsia="Times New Roman" w:hAnsi="inherit" w:cs="Times New Roman"/>
                <w:sz w:val="24"/>
                <w:szCs w:val="24"/>
                <w:lang w:eastAsia="tr-TR"/>
              </w:rPr>
              <w:br/>
            </w:r>
            <w:proofErr w:type="gramStart"/>
            <w:r w:rsidRPr="0045530E">
              <w:rPr>
                <w:rFonts w:ascii="inherit" w:eastAsia="Times New Roman" w:hAnsi="inherit" w:cs="Times New Roman"/>
                <w:sz w:val="24"/>
                <w:szCs w:val="24"/>
                <w:lang w:eastAsia="tr-TR"/>
              </w:rPr>
              <w:t>15.5</w:t>
            </w:r>
            <w:proofErr w:type="gramEnd"/>
            <w:r w:rsidRPr="0045530E">
              <w:rPr>
                <w:rFonts w:ascii="inherit" w:eastAsia="Times New Roman" w:hAnsi="inherit" w:cs="Times New Roman"/>
                <w:sz w:val="24"/>
                <w:szCs w:val="24"/>
                <w:lang w:eastAsia="tr-TR"/>
              </w:rPr>
              <w:t>%</w:t>
            </w:r>
          </w:p>
        </w:tc>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 2.3%</w:t>
            </w:r>
            <w:r w:rsidRPr="0045530E">
              <w:rPr>
                <w:rFonts w:ascii="inherit" w:eastAsia="Times New Roman" w:hAnsi="inherit" w:cs="Times New Roman"/>
                <w:sz w:val="24"/>
                <w:szCs w:val="24"/>
                <w:lang w:eastAsia="tr-TR"/>
              </w:rPr>
              <w:br/>
            </w:r>
            <w:proofErr w:type="gramStart"/>
            <w:r w:rsidRPr="0045530E">
              <w:rPr>
                <w:rFonts w:ascii="inherit" w:eastAsia="Times New Roman" w:hAnsi="inherit" w:cs="Times New Roman"/>
                <w:sz w:val="24"/>
                <w:szCs w:val="24"/>
                <w:lang w:eastAsia="tr-TR"/>
              </w:rPr>
              <w:t>15.4</w:t>
            </w:r>
            <w:proofErr w:type="gramEnd"/>
            <w:r w:rsidRPr="0045530E">
              <w:rPr>
                <w:rFonts w:ascii="inherit" w:eastAsia="Times New Roman" w:hAnsi="inherit" w:cs="Times New Roman"/>
                <w:sz w:val="24"/>
                <w:szCs w:val="24"/>
                <w:lang w:eastAsia="tr-TR"/>
              </w:rPr>
              <w:t>%</w:t>
            </w:r>
          </w:p>
        </w:tc>
      </w:tr>
      <w:tr w:rsidR="0045530E" w:rsidRPr="0045530E" w:rsidTr="0045530E">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sz w:val="24"/>
                <w:szCs w:val="24"/>
                <w:bdr w:val="none" w:sz="0" w:space="0" w:color="auto" w:frame="1"/>
                <w:lang w:eastAsia="tr-TR"/>
              </w:rPr>
              <w:t>Psychiatric</w:t>
            </w:r>
            <w:r w:rsidRPr="0045530E">
              <w:rPr>
                <w:rFonts w:ascii="inherit" w:eastAsia="Times New Roman" w:hAnsi="inherit" w:cs="Times New Roman"/>
                <w:sz w:val="24"/>
                <w:szCs w:val="24"/>
                <w:lang w:eastAsia="tr-TR"/>
              </w:rPr>
              <w:t> </w:t>
            </w:r>
            <w:r w:rsidRPr="0045530E">
              <w:rPr>
                <w:rFonts w:ascii="inherit" w:eastAsia="Times New Roman" w:hAnsi="inherit" w:cs="Times New Roman"/>
                <w:sz w:val="24"/>
                <w:szCs w:val="24"/>
                <w:lang w:eastAsia="tr-TR"/>
              </w:rPr>
              <w:br/>
              <w:t>Insomnia</w:t>
            </w:r>
          </w:p>
        </w:tc>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2.3%</w:t>
            </w:r>
          </w:p>
        </w:tc>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2.3% </w:t>
            </w:r>
          </w:p>
        </w:tc>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2.9%</w:t>
            </w:r>
          </w:p>
        </w:tc>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1.3%</w:t>
            </w:r>
          </w:p>
        </w:tc>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1.4% </w:t>
            </w:r>
          </w:p>
        </w:tc>
      </w:tr>
      <w:tr w:rsidR="0045530E" w:rsidRPr="0045530E" w:rsidTr="0045530E">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sz w:val="24"/>
                <w:szCs w:val="24"/>
                <w:bdr w:val="none" w:sz="0" w:space="0" w:color="auto" w:frame="1"/>
                <w:lang w:eastAsia="tr-TR"/>
              </w:rPr>
              <w:t>Respiratory</w:t>
            </w:r>
            <w:r w:rsidRPr="0045530E">
              <w:rPr>
                <w:rFonts w:ascii="inherit" w:eastAsia="Times New Roman" w:hAnsi="inherit" w:cs="Times New Roman"/>
                <w:sz w:val="24"/>
                <w:szCs w:val="24"/>
                <w:lang w:eastAsia="tr-TR"/>
              </w:rPr>
              <w:t> </w:t>
            </w:r>
            <w:r w:rsidRPr="0045530E">
              <w:rPr>
                <w:rFonts w:ascii="inherit" w:eastAsia="Times New Roman" w:hAnsi="inherit" w:cs="Times New Roman"/>
                <w:sz w:val="24"/>
                <w:szCs w:val="24"/>
                <w:lang w:eastAsia="tr-TR"/>
              </w:rPr>
              <w:br/>
              <w:t>Pharyngitis</w:t>
            </w:r>
            <w:r w:rsidRPr="0045530E">
              <w:rPr>
                <w:rFonts w:ascii="inherit" w:eastAsia="Times New Roman" w:hAnsi="inherit" w:cs="Times New Roman"/>
                <w:sz w:val="24"/>
                <w:szCs w:val="24"/>
                <w:lang w:eastAsia="tr-TR"/>
              </w:rPr>
              <w:br/>
              <w:t>Rhinitis</w:t>
            </w:r>
            <w:r w:rsidRPr="0045530E">
              <w:rPr>
                <w:rFonts w:ascii="inherit" w:eastAsia="Times New Roman" w:hAnsi="inherit" w:cs="Times New Roman"/>
                <w:sz w:val="24"/>
                <w:szCs w:val="24"/>
                <w:lang w:eastAsia="tr-TR"/>
              </w:rPr>
              <w:br/>
              <w:t>Sinusitis</w:t>
            </w:r>
            <w:r w:rsidRPr="0045530E">
              <w:rPr>
                <w:rFonts w:ascii="inherit" w:eastAsia="Times New Roman" w:hAnsi="inherit" w:cs="Times New Roman"/>
                <w:sz w:val="24"/>
                <w:szCs w:val="24"/>
                <w:lang w:eastAsia="tr-TR"/>
              </w:rPr>
              <w:br/>
              <w:t>Upper Respiratory Infection</w:t>
            </w:r>
          </w:p>
        </w:tc>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2.3%</w:t>
            </w:r>
            <w:r w:rsidRPr="0045530E">
              <w:rPr>
                <w:rFonts w:ascii="inherit" w:eastAsia="Times New Roman" w:hAnsi="inherit" w:cs="Times New Roman"/>
                <w:sz w:val="24"/>
                <w:szCs w:val="24"/>
                <w:lang w:eastAsia="tr-TR"/>
              </w:rPr>
              <w:br/>
              <w:t>2%</w:t>
            </w:r>
            <w:r w:rsidRPr="0045530E">
              <w:rPr>
                <w:rFonts w:ascii="inherit" w:eastAsia="Times New Roman" w:hAnsi="inherit" w:cs="Times New Roman"/>
                <w:sz w:val="24"/>
                <w:szCs w:val="24"/>
                <w:lang w:eastAsia="tr-TR"/>
              </w:rPr>
              <w:br/>
              <w:t>5%</w:t>
            </w:r>
            <w:r w:rsidRPr="0045530E">
              <w:rPr>
                <w:rFonts w:ascii="inherit" w:eastAsia="Times New Roman" w:hAnsi="inherit" w:cs="Times New Roman"/>
                <w:sz w:val="24"/>
                <w:szCs w:val="24"/>
                <w:lang w:eastAsia="tr-TR"/>
              </w:rPr>
              <w:br/>
            </w:r>
            <w:proofErr w:type="gramStart"/>
            <w:r w:rsidRPr="0045530E">
              <w:rPr>
                <w:rFonts w:ascii="inherit" w:eastAsia="Times New Roman" w:hAnsi="inherit" w:cs="Times New Roman"/>
                <w:sz w:val="24"/>
                <w:szCs w:val="24"/>
                <w:lang w:eastAsia="tr-TR"/>
              </w:rPr>
              <w:t>8.1</w:t>
            </w:r>
            <w:proofErr w:type="gramEnd"/>
            <w:r w:rsidRPr="0045530E">
              <w:rPr>
                <w:rFonts w:ascii="inherit" w:eastAsia="Times New Roman" w:hAnsi="inherit" w:cs="Times New Roman"/>
                <w:sz w:val="24"/>
                <w:szCs w:val="24"/>
                <w:lang w:eastAsia="tr-TR"/>
              </w:rPr>
              <w:t>%</w:t>
            </w:r>
          </w:p>
        </w:tc>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1.1%</w:t>
            </w:r>
            <w:r w:rsidRPr="0045530E">
              <w:rPr>
                <w:rFonts w:ascii="inherit" w:eastAsia="Times New Roman" w:hAnsi="inherit" w:cs="Times New Roman"/>
                <w:sz w:val="24"/>
                <w:szCs w:val="24"/>
                <w:lang w:eastAsia="tr-TR"/>
              </w:rPr>
              <w:br/>
            </w:r>
            <w:proofErr w:type="gramStart"/>
            <w:r w:rsidRPr="0045530E">
              <w:rPr>
                <w:rFonts w:ascii="inherit" w:eastAsia="Times New Roman" w:hAnsi="inherit" w:cs="Times New Roman"/>
                <w:sz w:val="24"/>
                <w:szCs w:val="24"/>
                <w:lang w:eastAsia="tr-TR"/>
              </w:rPr>
              <w:t>1.3</w:t>
            </w:r>
            <w:proofErr w:type="gramEnd"/>
            <w:r w:rsidRPr="0045530E">
              <w:rPr>
                <w:rFonts w:ascii="inherit" w:eastAsia="Times New Roman" w:hAnsi="inherit" w:cs="Times New Roman"/>
                <w:sz w:val="24"/>
                <w:szCs w:val="24"/>
                <w:lang w:eastAsia="tr-TR"/>
              </w:rPr>
              <w:t>%</w:t>
            </w:r>
            <w:r w:rsidRPr="0045530E">
              <w:rPr>
                <w:rFonts w:ascii="inherit" w:eastAsia="Times New Roman" w:hAnsi="inherit" w:cs="Times New Roman"/>
                <w:sz w:val="24"/>
                <w:szCs w:val="24"/>
                <w:lang w:eastAsia="tr-TR"/>
              </w:rPr>
              <w:br/>
              <w:t>4.3%</w:t>
            </w:r>
            <w:r w:rsidRPr="0045530E">
              <w:rPr>
                <w:rFonts w:ascii="inherit" w:eastAsia="Times New Roman" w:hAnsi="inherit" w:cs="Times New Roman"/>
                <w:sz w:val="24"/>
                <w:szCs w:val="24"/>
                <w:lang w:eastAsia="tr-TR"/>
              </w:rPr>
              <w:br/>
              <w:t>6.7% </w:t>
            </w:r>
          </w:p>
        </w:tc>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1.7%</w:t>
            </w:r>
            <w:r w:rsidRPr="0045530E">
              <w:rPr>
                <w:rFonts w:ascii="inherit" w:eastAsia="Times New Roman" w:hAnsi="inherit" w:cs="Times New Roman"/>
                <w:sz w:val="24"/>
                <w:szCs w:val="24"/>
                <w:lang w:eastAsia="tr-TR"/>
              </w:rPr>
              <w:br/>
            </w:r>
            <w:proofErr w:type="gramStart"/>
            <w:r w:rsidRPr="0045530E">
              <w:rPr>
                <w:rFonts w:ascii="inherit" w:eastAsia="Times New Roman" w:hAnsi="inherit" w:cs="Times New Roman"/>
                <w:sz w:val="24"/>
                <w:szCs w:val="24"/>
                <w:lang w:eastAsia="tr-TR"/>
              </w:rPr>
              <w:t>2.4</w:t>
            </w:r>
            <w:proofErr w:type="gramEnd"/>
            <w:r w:rsidRPr="0045530E">
              <w:rPr>
                <w:rFonts w:ascii="inherit" w:eastAsia="Times New Roman" w:hAnsi="inherit" w:cs="Times New Roman"/>
                <w:sz w:val="24"/>
                <w:szCs w:val="24"/>
                <w:lang w:eastAsia="tr-TR"/>
              </w:rPr>
              <w:t>%</w:t>
            </w:r>
            <w:r w:rsidRPr="0045530E">
              <w:rPr>
                <w:rFonts w:ascii="inherit" w:eastAsia="Times New Roman" w:hAnsi="inherit" w:cs="Times New Roman"/>
                <w:sz w:val="24"/>
                <w:szCs w:val="24"/>
                <w:lang w:eastAsia="tr-TR"/>
              </w:rPr>
              <w:br/>
              <w:t>4%</w:t>
            </w:r>
            <w:r w:rsidRPr="0045530E">
              <w:rPr>
                <w:rFonts w:ascii="inherit" w:eastAsia="Times New Roman" w:hAnsi="inherit" w:cs="Times New Roman"/>
                <w:sz w:val="24"/>
                <w:szCs w:val="24"/>
                <w:lang w:eastAsia="tr-TR"/>
              </w:rPr>
              <w:br/>
              <w:t>9.9%</w:t>
            </w:r>
          </w:p>
        </w:tc>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1.6%</w:t>
            </w:r>
            <w:r w:rsidRPr="0045530E">
              <w:rPr>
                <w:rFonts w:ascii="inherit" w:eastAsia="Times New Roman" w:hAnsi="inherit" w:cs="Times New Roman"/>
                <w:sz w:val="24"/>
                <w:szCs w:val="24"/>
                <w:lang w:eastAsia="tr-TR"/>
              </w:rPr>
              <w:br/>
            </w:r>
            <w:proofErr w:type="gramStart"/>
            <w:r w:rsidRPr="0045530E">
              <w:rPr>
                <w:rFonts w:ascii="inherit" w:eastAsia="Times New Roman" w:hAnsi="inherit" w:cs="Times New Roman"/>
                <w:sz w:val="24"/>
                <w:szCs w:val="24"/>
                <w:lang w:eastAsia="tr-TR"/>
              </w:rPr>
              <w:t>2.3</w:t>
            </w:r>
            <w:proofErr w:type="gramEnd"/>
            <w:r w:rsidRPr="0045530E">
              <w:rPr>
                <w:rFonts w:ascii="inherit" w:eastAsia="Times New Roman" w:hAnsi="inherit" w:cs="Times New Roman"/>
                <w:sz w:val="24"/>
                <w:szCs w:val="24"/>
                <w:lang w:eastAsia="tr-TR"/>
              </w:rPr>
              <w:t>%</w:t>
            </w:r>
            <w:r w:rsidRPr="0045530E">
              <w:rPr>
                <w:rFonts w:ascii="inherit" w:eastAsia="Times New Roman" w:hAnsi="inherit" w:cs="Times New Roman"/>
                <w:sz w:val="24"/>
                <w:szCs w:val="24"/>
                <w:lang w:eastAsia="tr-TR"/>
              </w:rPr>
              <w:br/>
              <w:t>5.4%</w:t>
            </w:r>
            <w:r w:rsidRPr="0045530E">
              <w:rPr>
                <w:rFonts w:ascii="inherit" w:eastAsia="Times New Roman" w:hAnsi="inherit" w:cs="Times New Roman"/>
                <w:sz w:val="24"/>
                <w:szCs w:val="24"/>
                <w:lang w:eastAsia="tr-TR"/>
              </w:rPr>
              <w:br/>
              <w:t>9.8%</w:t>
            </w:r>
          </w:p>
        </w:tc>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2.6%</w:t>
            </w:r>
            <w:r w:rsidRPr="0045530E">
              <w:rPr>
                <w:rFonts w:ascii="inherit" w:eastAsia="Times New Roman" w:hAnsi="inherit" w:cs="Times New Roman"/>
                <w:sz w:val="24"/>
                <w:szCs w:val="24"/>
                <w:lang w:eastAsia="tr-TR"/>
              </w:rPr>
              <w:br/>
            </w:r>
            <w:proofErr w:type="gramStart"/>
            <w:r w:rsidRPr="0045530E">
              <w:rPr>
                <w:rFonts w:ascii="inherit" w:eastAsia="Times New Roman" w:hAnsi="inherit" w:cs="Times New Roman"/>
                <w:sz w:val="24"/>
                <w:szCs w:val="24"/>
                <w:lang w:eastAsia="tr-TR"/>
              </w:rPr>
              <w:t>0.6</w:t>
            </w:r>
            <w:proofErr w:type="gramEnd"/>
            <w:r w:rsidRPr="0045530E">
              <w:rPr>
                <w:rFonts w:ascii="inherit" w:eastAsia="Times New Roman" w:hAnsi="inherit" w:cs="Times New Roman"/>
                <w:sz w:val="24"/>
                <w:szCs w:val="24"/>
                <w:lang w:eastAsia="tr-TR"/>
              </w:rPr>
              <w:t>%</w:t>
            </w:r>
            <w:r w:rsidRPr="0045530E">
              <w:rPr>
                <w:rFonts w:ascii="inherit" w:eastAsia="Times New Roman" w:hAnsi="inherit" w:cs="Times New Roman"/>
                <w:sz w:val="24"/>
                <w:szCs w:val="24"/>
                <w:lang w:eastAsia="tr-TR"/>
              </w:rPr>
              <w:br/>
              <w:t>5.8%</w:t>
            </w:r>
            <w:r w:rsidRPr="0045530E">
              <w:rPr>
                <w:rFonts w:ascii="inherit" w:eastAsia="Times New Roman" w:hAnsi="inherit" w:cs="Times New Roman"/>
                <w:sz w:val="24"/>
                <w:szCs w:val="24"/>
                <w:lang w:eastAsia="tr-TR"/>
              </w:rPr>
              <w:br/>
              <w:t>9.9% </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sz w:val="24"/>
                <w:szCs w:val="24"/>
                <w:bdr w:val="none" w:sz="0" w:space="0" w:color="auto" w:frame="1"/>
                <w:lang w:eastAsia="tr-TR"/>
              </w:rPr>
              <w:t>Skin</w:t>
            </w:r>
            <w:r w:rsidRPr="0045530E">
              <w:rPr>
                <w:rFonts w:ascii="inherit" w:eastAsia="Times New Roman" w:hAnsi="inherit" w:cs="Times New Roman"/>
                <w:sz w:val="24"/>
                <w:szCs w:val="24"/>
                <w:lang w:eastAsia="tr-TR"/>
              </w:rPr>
              <w:t> </w:t>
            </w:r>
            <w:r w:rsidRPr="0045530E">
              <w:rPr>
                <w:rFonts w:ascii="inherit" w:eastAsia="Times New Roman" w:hAnsi="inherit" w:cs="Times New Roman"/>
                <w:sz w:val="24"/>
                <w:szCs w:val="24"/>
                <w:lang w:eastAsia="tr-TR"/>
              </w:rPr>
              <w:br/>
              <w:t>Rash</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2.2%</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2.1% </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2.1%</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1.3% </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1.2%</w:t>
            </w:r>
          </w:p>
        </w:tc>
      </w:tr>
    </w:tbl>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CBX = Celecoxib 100 to 200 mg twice daily or 200 mg once daily;</w:t>
      </w:r>
      <w:r w:rsidRPr="0045530E">
        <w:rPr>
          <w:rFonts w:ascii="inherit" w:eastAsia="Times New Roman" w:hAnsi="inherit" w:cs="Arial"/>
          <w:color w:val="222222"/>
          <w:sz w:val="21"/>
          <w:szCs w:val="21"/>
          <w:lang w:eastAsia="tr-TR"/>
        </w:rPr>
        <w:br/>
        <w:t>NAP = Naproxen 500 mg twice daily;</w:t>
      </w:r>
      <w:r w:rsidRPr="0045530E">
        <w:rPr>
          <w:rFonts w:ascii="inherit" w:eastAsia="Times New Roman" w:hAnsi="inherit" w:cs="Arial"/>
          <w:color w:val="222222"/>
          <w:sz w:val="21"/>
          <w:szCs w:val="21"/>
          <w:lang w:eastAsia="tr-TR"/>
        </w:rPr>
        <w:br/>
        <w:t>DCF = Diclofenac 75 mg twice daily;</w:t>
      </w:r>
      <w:r w:rsidRPr="0045530E">
        <w:rPr>
          <w:rFonts w:ascii="inherit" w:eastAsia="Times New Roman" w:hAnsi="inherit" w:cs="Arial"/>
          <w:color w:val="222222"/>
          <w:sz w:val="21"/>
          <w:szCs w:val="21"/>
          <w:lang w:eastAsia="tr-TR"/>
        </w:rPr>
        <w:br/>
        <w:t>IBU = Ibuprofen 800 mg three times daily.</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 xml:space="preserve">In placebo- or active-controlled clinical trials, the discontinuation rate due to adverse events was </w:t>
      </w:r>
      <w:proofErr w:type="gramStart"/>
      <w:r w:rsidRPr="0045530E">
        <w:rPr>
          <w:rFonts w:ascii="inherit" w:eastAsia="Times New Roman" w:hAnsi="inherit" w:cs="Arial"/>
          <w:color w:val="222222"/>
          <w:sz w:val="21"/>
          <w:szCs w:val="21"/>
          <w:lang w:eastAsia="tr-TR"/>
        </w:rPr>
        <w:t>7.1</w:t>
      </w:r>
      <w:proofErr w:type="gramEnd"/>
      <w:r w:rsidRPr="0045530E">
        <w:rPr>
          <w:rFonts w:ascii="inherit" w:eastAsia="Times New Roman" w:hAnsi="inherit" w:cs="Arial"/>
          <w:color w:val="222222"/>
          <w:sz w:val="21"/>
          <w:szCs w:val="21"/>
          <w:lang w:eastAsia="tr-TR"/>
        </w:rPr>
        <w:t>% for patients receiving celecoxib and 6.1% for patients receiving placebo. Among the most common reasons for discontinuation due to adverse events in the celecoxib treatment</w:t>
      </w:r>
      <w:r w:rsidRPr="0045530E">
        <w:rPr>
          <w:rFonts w:ascii="inherit" w:eastAsia="Times New Roman" w:hAnsi="inherit" w:cs="Arial"/>
          <w:color w:val="222222"/>
          <w:sz w:val="21"/>
          <w:szCs w:val="21"/>
          <w:lang w:eastAsia="tr-TR"/>
        </w:rPr>
        <w:br/>
        <w:t xml:space="preserve">groups were dyspepsia and abdominal pain (cited as reasons for discontinuation in </w:t>
      </w:r>
      <w:proofErr w:type="gramStart"/>
      <w:r w:rsidRPr="0045530E">
        <w:rPr>
          <w:rFonts w:ascii="inherit" w:eastAsia="Times New Roman" w:hAnsi="inherit" w:cs="Arial"/>
          <w:color w:val="222222"/>
          <w:sz w:val="21"/>
          <w:szCs w:val="21"/>
          <w:lang w:eastAsia="tr-TR"/>
        </w:rPr>
        <w:t>0.8</w:t>
      </w:r>
      <w:proofErr w:type="gramEnd"/>
      <w:r w:rsidRPr="0045530E">
        <w:rPr>
          <w:rFonts w:ascii="inherit" w:eastAsia="Times New Roman" w:hAnsi="inherit" w:cs="Arial"/>
          <w:color w:val="222222"/>
          <w:sz w:val="21"/>
          <w:szCs w:val="21"/>
          <w:lang w:eastAsia="tr-TR"/>
        </w:rPr>
        <w:t xml:space="preserve">% and 0.7% of celecoxib patients, respectively). Among patients receiving placebo, </w:t>
      </w:r>
      <w:proofErr w:type="gramStart"/>
      <w:r w:rsidRPr="0045530E">
        <w:rPr>
          <w:rFonts w:ascii="inherit" w:eastAsia="Times New Roman" w:hAnsi="inherit" w:cs="Arial"/>
          <w:color w:val="222222"/>
          <w:sz w:val="21"/>
          <w:szCs w:val="21"/>
          <w:lang w:eastAsia="tr-TR"/>
        </w:rPr>
        <w:t>0.6</w:t>
      </w:r>
      <w:proofErr w:type="gramEnd"/>
      <w:r w:rsidRPr="0045530E">
        <w:rPr>
          <w:rFonts w:ascii="inherit" w:eastAsia="Times New Roman" w:hAnsi="inherit" w:cs="Arial"/>
          <w:color w:val="222222"/>
          <w:sz w:val="21"/>
          <w:szCs w:val="21"/>
          <w:lang w:eastAsia="tr-TR"/>
        </w:rPr>
        <w:t>% discontinued due to dyspepsia and 0.6% withdrew due to abdominal pain.</w:t>
      </w:r>
    </w:p>
    <w:p w:rsidR="0045530E" w:rsidRPr="0045530E" w:rsidRDefault="0045530E" w:rsidP="0045530E">
      <w:pPr>
        <w:shd w:val="clear" w:color="auto" w:fill="FFFFFF"/>
        <w:spacing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color w:val="222222"/>
          <w:sz w:val="21"/>
          <w:szCs w:val="21"/>
          <w:bdr w:val="none" w:sz="0" w:space="0" w:color="auto" w:frame="1"/>
          <w:lang w:eastAsia="tr-TR"/>
        </w:rPr>
        <w:t xml:space="preserve">The following adverse reactions occurred in </w:t>
      </w:r>
      <w:proofErr w:type="gramStart"/>
      <w:r w:rsidRPr="0045530E">
        <w:rPr>
          <w:rFonts w:ascii="inherit" w:eastAsia="Times New Roman" w:hAnsi="inherit" w:cs="Arial"/>
          <w:b/>
          <w:bCs/>
          <w:color w:val="222222"/>
          <w:sz w:val="21"/>
          <w:szCs w:val="21"/>
          <w:bdr w:val="none" w:sz="0" w:space="0" w:color="auto" w:frame="1"/>
          <w:lang w:eastAsia="tr-TR"/>
        </w:rPr>
        <w:t>0.1</w:t>
      </w:r>
      <w:proofErr w:type="gramEnd"/>
      <w:r w:rsidRPr="0045530E">
        <w:rPr>
          <w:rFonts w:ascii="inherit" w:eastAsia="Times New Roman" w:hAnsi="inherit" w:cs="Arial"/>
          <w:b/>
          <w:bCs/>
          <w:color w:val="222222"/>
          <w:sz w:val="21"/>
          <w:szCs w:val="21"/>
          <w:bdr w:val="none" w:sz="0" w:space="0" w:color="auto" w:frame="1"/>
          <w:lang w:eastAsia="tr-TR"/>
        </w:rPr>
        <w:t xml:space="preserve"> to 1.9% of patients treated with celecoxib (100 to 200 mg twice daily or 200 mg once daily):</w:t>
      </w:r>
    </w:p>
    <w:tbl>
      <w:tblPr>
        <w:tblW w:w="5000" w:type="pct"/>
        <w:tblCellMar>
          <w:left w:w="0" w:type="dxa"/>
          <w:right w:w="0" w:type="dxa"/>
        </w:tblCellMar>
        <w:tblLook w:val="04A0" w:firstRow="1" w:lastRow="0" w:firstColumn="1" w:lastColumn="0" w:noHBand="0" w:noVBand="1"/>
      </w:tblPr>
      <w:tblGrid>
        <w:gridCol w:w="3544"/>
        <w:gridCol w:w="5708"/>
      </w:tblGrid>
      <w:tr w:rsidR="0045530E" w:rsidRPr="0045530E" w:rsidTr="0045530E">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proofErr w:type="gramStart"/>
            <w:r w:rsidRPr="0045530E">
              <w:rPr>
                <w:rFonts w:ascii="inherit" w:eastAsia="Times New Roman" w:hAnsi="inherit" w:cs="Times New Roman"/>
                <w:b/>
                <w:bCs/>
                <w:i/>
                <w:iCs/>
                <w:sz w:val="24"/>
                <w:szCs w:val="24"/>
                <w:bdr w:val="none" w:sz="0" w:space="0" w:color="auto" w:frame="1"/>
                <w:lang w:eastAsia="tr-TR"/>
              </w:rPr>
              <w:t>Gastrointestinal:Gastrointestinal</w:t>
            </w:r>
            <w:proofErr w:type="gramEnd"/>
            <w:r w:rsidRPr="0045530E">
              <w:rPr>
                <w:rFonts w:ascii="inherit" w:eastAsia="Times New Roman" w:hAnsi="inherit" w:cs="Times New Roman"/>
                <w:b/>
                <w:bCs/>
                <w:i/>
                <w:iCs/>
                <w:sz w:val="24"/>
                <w:szCs w:val="24"/>
                <w:bdr w:val="none" w:sz="0" w:space="0" w:color="auto" w:frame="1"/>
                <w:lang w:eastAsia="tr-TR"/>
              </w:rPr>
              <w:t>:</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Constipation, diverticulitis, dysphagia, eructation, esophagitis, gastritis, gastroenteritis, gastroesophageal</w:t>
            </w:r>
            <w:r w:rsidRPr="0045530E">
              <w:rPr>
                <w:rFonts w:ascii="inherit" w:eastAsia="Times New Roman" w:hAnsi="inherit" w:cs="Times New Roman"/>
                <w:sz w:val="24"/>
                <w:szCs w:val="24"/>
                <w:lang w:eastAsia="tr-TR"/>
              </w:rPr>
              <w:br/>
              <w:t>reflux, hemorrhoids, hiatal hernia, melena, dry mouth, stomatitis, tenesmus, vomiting</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i/>
                <w:iCs/>
                <w:sz w:val="24"/>
                <w:szCs w:val="24"/>
                <w:bdr w:val="none" w:sz="0" w:space="0" w:color="auto" w:frame="1"/>
                <w:lang w:eastAsia="tr-TR"/>
              </w:rPr>
              <w:t>Cardiovascular:</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Aggravated hypertension, angina pectoris, coronary artery disorder, myocardial infarction</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i/>
                <w:iCs/>
                <w:sz w:val="24"/>
                <w:szCs w:val="24"/>
                <w:bdr w:val="none" w:sz="0" w:space="0" w:color="auto" w:frame="1"/>
                <w:lang w:eastAsia="tr-TR"/>
              </w:rPr>
              <w:t>General:</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Allergy aggravated, allergic reaction, chest pain, cyst NOS, edema generalized, face edema, fatigue, fever, hot flushes, influenza-like symptoms, pain, peripheral pain </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i/>
                <w:iCs/>
                <w:sz w:val="24"/>
                <w:szCs w:val="24"/>
                <w:bdr w:val="none" w:sz="0" w:space="0" w:color="auto" w:frame="1"/>
                <w:lang w:eastAsia="tr-TR"/>
              </w:rPr>
              <w:t>Central, peripheral nervous system:</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Leg cramps, hypertonia, hypoesthesia, migraine, paresthesia, vertigo </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i/>
                <w:iCs/>
                <w:sz w:val="24"/>
                <w:szCs w:val="24"/>
                <w:bdr w:val="none" w:sz="0" w:space="0" w:color="auto" w:frame="1"/>
                <w:lang w:eastAsia="tr-TR"/>
              </w:rPr>
              <w:t>Hearing and vestibular:</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Deafness, tinnitus</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i/>
                <w:iCs/>
                <w:sz w:val="24"/>
                <w:szCs w:val="24"/>
                <w:bdr w:val="none" w:sz="0" w:space="0" w:color="auto" w:frame="1"/>
                <w:lang w:eastAsia="tr-TR"/>
              </w:rPr>
              <w:t>Heart rate and rhythm:</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Palpitation, tachycardia </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i/>
                <w:iCs/>
                <w:sz w:val="24"/>
                <w:szCs w:val="24"/>
                <w:bdr w:val="none" w:sz="0" w:space="0" w:color="auto" w:frame="1"/>
                <w:lang w:eastAsia="tr-TR"/>
              </w:rPr>
              <w:t>Liver and biliary:</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Hepatic function abnormal, SGOT increased, SGPT increased</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i/>
                <w:iCs/>
                <w:sz w:val="24"/>
                <w:szCs w:val="24"/>
                <w:bdr w:val="none" w:sz="0" w:space="0" w:color="auto" w:frame="1"/>
                <w:lang w:eastAsia="tr-TR"/>
              </w:rPr>
              <w:t>Metabolic and nutritional:</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BUN increased, CPK increased, hypercholesterolemia, hyperglycemia, hypokalemia, NPN increased, creatinine</w:t>
            </w:r>
            <w:r w:rsidRPr="0045530E">
              <w:rPr>
                <w:rFonts w:ascii="inherit" w:eastAsia="Times New Roman" w:hAnsi="inherit" w:cs="Times New Roman"/>
                <w:sz w:val="24"/>
                <w:szCs w:val="24"/>
                <w:lang w:eastAsia="tr-TR"/>
              </w:rPr>
              <w:br/>
              <w:t>increased, alkaline phosphatase increased, weight increased</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i/>
                <w:iCs/>
                <w:sz w:val="24"/>
                <w:szCs w:val="24"/>
                <w:bdr w:val="none" w:sz="0" w:space="0" w:color="auto" w:frame="1"/>
                <w:lang w:eastAsia="tr-TR"/>
              </w:rPr>
              <w:t>Musculoskeletal:</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Arthralgia, arthrosis, myalgia, synovitis, tendinitis </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i/>
                <w:iCs/>
                <w:sz w:val="24"/>
                <w:szCs w:val="24"/>
                <w:bdr w:val="none" w:sz="0" w:space="0" w:color="auto" w:frame="1"/>
                <w:lang w:eastAsia="tr-TR"/>
              </w:rPr>
              <w:t>Platelets (bleeding or clotting):</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Ecchymosis, epistaxis, thrombocythemia </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i/>
                <w:iCs/>
                <w:sz w:val="24"/>
                <w:szCs w:val="24"/>
                <w:bdr w:val="none" w:sz="0" w:space="0" w:color="auto" w:frame="1"/>
                <w:lang w:eastAsia="tr-TR"/>
              </w:rPr>
              <w:t>Psychiatric:</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Anorexia, anxiety, appetite increased, depression, nervousness, somnolence </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i/>
                <w:iCs/>
                <w:sz w:val="24"/>
                <w:szCs w:val="24"/>
                <w:bdr w:val="none" w:sz="0" w:space="0" w:color="auto" w:frame="1"/>
                <w:lang w:eastAsia="tr-TR"/>
              </w:rPr>
              <w:t>Hemic:</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Anemia </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i/>
                <w:iCs/>
                <w:sz w:val="24"/>
                <w:szCs w:val="24"/>
                <w:bdr w:val="none" w:sz="0" w:space="0" w:color="auto" w:frame="1"/>
                <w:lang w:eastAsia="tr-TR"/>
              </w:rPr>
              <w:t>Respiratory: </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Bronchitis, bronchospasm, bronchospasm aggravated, coughing, dyspnea, laryngitis, pneumonia </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i/>
                <w:iCs/>
                <w:sz w:val="24"/>
                <w:szCs w:val="24"/>
                <w:bdr w:val="none" w:sz="0" w:space="0" w:color="auto" w:frame="1"/>
                <w:lang w:eastAsia="tr-TR"/>
              </w:rPr>
              <w:t>Skin and appendages: </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Alopecia, dermatitis, photosensitivity reaction, pruritus, rash erythematous, rash maculopapular, skin disorder, skin dry, sweating increased, urticaria </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i/>
                <w:iCs/>
                <w:sz w:val="24"/>
                <w:szCs w:val="24"/>
                <w:bdr w:val="none" w:sz="0" w:space="0" w:color="auto" w:frame="1"/>
                <w:lang w:eastAsia="tr-TR"/>
              </w:rPr>
              <w:t>Application site disorders:</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Cellulitis, dermatitis contact</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i/>
                <w:iCs/>
                <w:sz w:val="24"/>
                <w:szCs w:val="24"/>
                <w:bdr w:val="none" w:sz="0" w:space="0" w:color="auto" w:frame="1"/>
                <w:lang w:eastAsia="tr-TR"/>
              </w:rPr>
              <w:t>Urinary:</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Albuminuria, cystitis, dysuria, hematuria, micturition frequency, renal calculus </w:t>
            </w:r>
          </w:p>
        </w:tc>
      </w:tr>
    </w:tbl>
    <w:p w:rsidR="0045530E" w:rsidRPr="0045530E" w:rsidRDefault="0045530E" w:rsidP="0045530E">
      <w:pPr>
        <w:shd w:val="clear" w:color="auto" w:fill="FFFFFF"/>
        <w:spacing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color w:val="222222"/>
          <w:sz w:val="21"/>
          <w:szCs w:val="21"/>
          <w:bdr w:val="none" w:sz="0" w:space="0" w:color="auto" w:frame="1"/>
          <w:lang w:eastAsia="tr-TR"/>
        </w:rPr>
        <w:t>The following serious adverse events (causality not evaluated) occurred in &lt;0.1% of patients (cases reported only in post-</w:t>
      </w:r>
      <w:proofErr w:type="gramStart"/>
      <w:r w:rsidRPr="0045530E">
        <w:rPr>
          <w:rFonts w:ascii="inherit" w:eastAsia="Times New Roman" w:hAnsi="inherit" w:cs="Arial"/>
          <w:b/>
          <w:bCs/>
          <w:color w:val="222222"/>
          <w:sz w:val="21"/>
          <w:szCs w:val="21"/>
          <w:bdr w:val="none" w:sz="0" w:space="0" w:color="auto" w:frame="1"/>
          <w:lang w:eastAsia="tr-TR"/>
        </w:rPr>
        <w:t>marketing</w:t>
      </w:r>
      <w:proofErr w:type="gramEnd"/>
      <w:r w:rsidRPr="0045530E">
        <w:rPr>
          <w:rFonts w:ascii="inherit" w:eastAsia="Times New Roman" w:hAnsi="inherit" w:cs="Arial"/>
          <w:b/>
          <w:bCs/>
          <w:color w:val="222222"/>
          <w:sz w:val="21"/>
          <w:szCs w:val="21"/>
          <w:bdr w:val="none" w:sz="0" w:space="0" w:color="auto" w:frame="1"/>
          <w:lang w:eastAsia="tr-TR"/>
        </w:rPr>
        <w:t xml:space="preserve"> experience are indicated in italics):</w:t>
      </w:r>
    </w:p>
    <w:tbl>
      <w:tblPr>
        <w:tblW w:w="5000" w:type="pct"/>
        <w:tblCellMar>
          <w:left w:w="0" w:type="dxa"/>
          <w:right w:w="0" w:type="dxa"/>
        </w:tblCellMar>
        <w:tblLook w:val="04A0" w:firstRow="1" w:lastRow="0" w:firstColumn="1" w:lastColumn="0" w:noHBand="0" w:noVBand="1"/>
      </w:tblPr>
      <w:tblGrid>
        <w:gridCol w:w="3881"/>
        <w:gridCol w:w="5371"/>
      </w:tblGrid>
      <w:tr w:rsidR="0045530E" w:rsidRPr="0045530E" w:rsidTr="0045530E">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i/>
                <w:iCs/>
                <w:sz w:val="24"/>
                <w:szCs w:val="24"/>
                <w:bdr w:val="none" w:sz="0" w:space="0" w:color="auto" w:frame="1"/>
                <w:lang w:eastAsia="tr-TR"/>
              </w:rPr>
              <w:t>Cardiovascular:                                   </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192" w:line="240" w:lineRule="auto"/>
              <w:textAlignment w:val="baseline"/>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Syncope, congestive heart failure, ventricular fibrillation, pulmonary embolism, cerebrovascular accident, peripheral gangrene, thrombophlebitis, vasculitis, deep venous thrombosis</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i/>
                <w:iCs/>
                <w:sz w:val="24"/>
                <w:szCs w:val="24"/>
                <w:bdr w:val="none" w:sz="0" w:space="0" w:color="auto" w:frame="1"/>
                <w:lang w:eastAsia="tr-TR"/>
              </w:rPr>
              <w:t>Gastrointestinal:</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192" w:line="240" w:lineRule="auto"/>
              <w:textAlignment w:val="baseline"/>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Intestinal obstruction, intestinal perforation, gastrointestinal bleeding, colitis with bleeding, esophageal perforation, pancreatitis, ileus</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i/>
                <w:iCs/>
                <w:sz w:val="24"/>
                <w:szCs w:val="24"/>
                <w:bdr w:val="none" w:sz="0" w:space="0" w:color="auto" w:frame="1"/>
                <w:lang w:eastAsia="tr-TR"/>
              </w:rPr>
              <w:t>Liver and biliary:</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Cholelithiasis, hepatitis, jaundice, liver failure</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i/>
                <w:iCs/>
                <w:sz w:val="24"/>
                <w:szCs w:val="24"/>
                <w:bdr w:val="none" w:sz="0" w:space="0" w:color="auto" w:frame="1"/>
                <w:lang w:eastAsia="tr-TR"/>
              </w:rPr>
              <w:t>Hemic alymphatic:</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192" w:line="240" w:lineRule="auto"/>
              <w:textAlignment w:val="baseline"/>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 xml:space="preserve">Thrombocytopenia, </w:t>
            </w:r>
            <w:proofErr w:type="gramStart"/>
            <w:r w:rsidRPr="0045530E">
              <w:rPr>
                <w:rFonts w:ascii="inherit" w:eastAsia="Times New Roman" w:hAnsi="inherit" w:cs="Times New Roman"/>
                <w:sz w:val="24"/>
                <w:szCs w:val="24"/>
                <w:lang w:eastAsia="tr-TR"/>
              </w:rPr>
              <w:t>agranulocytosis,aplastic</w:t>
            </w:r>
            <w:proofErr w:type="gramEnd"/>
            <w:r w:rsidRPr="0045530E">
              <w:rPr>
                <w:rFonts w:ascii="inherit" w:eastAsia="Times New Roman" w:hAnsi="inherit" w:cs="Times New Roman"/>
                <w:sz w:val="24"/>
                <w:szCs w:val="24"/>
                <w:lang w:eastAsia="tr-TR"/>
              </w:rPr>
              <w:t xml:space="preserve"> anemia, pancytopenia, leucopenia</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i/>
                <w:iCs/>
                <w:sz w:val="24"/>
                <w:szCs w:val="24"/>
                <w:bdr w:val="none" w:sz="0" w:space="0" w:color="auto" w:frame="1"/>
                <w:lang w:eastAsia="tr-TR"/>
              </w:rPr>
              <w:t>Metabolic:</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Hypoglycemia, hyponatremia</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i/>
                <w:iCs/>
                <w:sz w:val="24"/>
                <w:szCs w:val="24"/>
                <w:bdr w:val="none" w:sz="0" w:space="0" w:color="auto" w:frame="1"/>
                <w:lang w:eastAsia="tr-TR"/>
              </w:rPr>
              <w:t>Nervous:</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192" w:line="240" w:lineRule="auto"/>
              <w:textAlignment w:val="baseline"/>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Ataxia, suicide, aseptic meningitis, ageusia, anosmia, fatal intracranial hemorrhage [see Drug Interactions (</w:t>
            </w:r>
            <w:proofErr w:type="gramStart"/>
            <w:r w:rsidRPr="0045530E">
              <w:rPr>
                <w:rFonts w:ascii="inherit" w:eastAsia="Times New Roman" w:hAnsi="inherit" w:cs="Times New Roman"/>
                <w:sz w:val="24"/>
                <w:szCs w:val="24"/>
                <w:lang w:eastAsia="tr-TR"/>
              </w:rPr>
              <w:t>7.1</w:t>
            </w:r>
            <w:proofErr w:type="gramEnd"/>
            <w:r w:rsidRPr="0045530E">
              <w:rPr>
                <w:rFonts w:ascii="inherit" w:eastAsia="Times New Roman" w:hAnsi="inherit" w:cs="Times New Roman"/>
                <w:sz w:val="24"/>
                <w:szCs w:val="24"/>
                <w:lang w:eastAsia="tr-TR"/>
              </w:rPr>
              <w:t>)]</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i/>
                <w:iCs/>
                <w:sz w:val="24"/>
                <w:szCs w:val="24"/>
                <w:bdr w:val="none" w:sz="0" w:space="0" w:color="auto" w:frame="1"/>
                <w:lang w:eastAsia="tr-TR"/>
              </w:rPr>
              <w:t>Renal:</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Acute renal failure, interstitial nephritis</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i/>
                <w:iCs/>
                <w:sz w:val="24"/>
                <w:szCs w:val="24"/>
                <w:bdr w:val="none" w:sz="0" w:space="0" w:color="auto" w:frame="1"/>
                <w:lang w:eastAsia="tr-TR"/>
              </w:rPr>
              <w:t>Skin:</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192" w:line="240" w:lineRule="auto"/>
              <w:textAlignment w:val="baseline"/>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Erythema multiforme, exfoliative dermatitis, StevensJohnson syndrome, toxic epidermal necrolysis</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i/>
                <w:iCs/>
                <w:sz w:val="24"/>
                <w:szCs w:val="24"/>
                <w:bdr w:val="none" w:sz="0" w:space="0" w:color="auto" w:frame="1"/>
                <w:lang w:eastAsia="tr-TR"/>
              </w:rPr>
              <w:t>General:</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Sepsis, sudden death, anaphylactoid reaction, angioedema</w:t>
            </w:r>
          </w:p>
        </w:tc>
      </w:tr>
    </w:tbl>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73" w:name="L558850e9-e937-4bcd-98cf-2757ed72c32d"/>
      <w:bookmarkStart w:id="74" w:name="section-6.2"/>
      <w:bookmarkEnd w:id="73"/>
      <w:bookmarkEnd w:id="74"/>
      <w:r w:rsidRPr="0045530E">
        <w:rPr>
          <w:rFonts w:ascii="inherit" w:eastAsia="Times New Roman" w:hAnsi="inherit" w:cs="Arial"/>
          <w:b/>
          <w:bCs/>
          <w:color w:val="222222"/>
          <w:sz w:val="36"/>
          <w:szCs w:val="36"/>
          <w:lang w:eastAsia="tr-TR"/>
        </w:rPr>
        <w:t>6.2 The Celecoxib Long-Term Arthritis Safety Study</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i/>
          <w:iCs/>
          <w:color w:val="222222"/>
          <w:sz w:val="21"/>
          <w:szCs w:val="21"/>
          <w:bdr w:val="none" w:sz="0" w:space="0" w:color="auto" w:frame="1"/>
          <w:lang w:eastAsia="tr-TR"/>
        </w:rPr>
        <w:t>Hematological Events:</w:t>
      </w:r>
      <w:r w:rsidRPr="0045530E">
        <w:rPr>
          <w:rFonts w:ascii="inherit" w:eastAsia="Times New Roman" w:hAnsi="inherit" w:cs="Arial"/>
          <w:color w:val="222222"/>
          <w:sz w:val="21"/>
          <w:szCs w:val="21"/>
          <w:lang w:eastAsia="tr-TR"/>
        </w:rPr>
        <w:t> The incidence of clinically significant decreases in hemoglobin (&gt;2 g/dL) was lower in patients on celecoxib 400 mg twice daily (</w:t>
      </w:r>
      <w:proofErr w:type="gramStart"/>
      <w:r w:rsidRPr="0045530E">
        <w:rPr>
          <w:rFonts w:ascii="inherit" w:eastAsia="Times New Roman" w:hAnsi="inherit" w:cs="Arial"/>
          <w:color w:val="222222"/>
          <w:sz w:val="21"/>
          <w:szCs w:val="21"/>
          <w:lang w:eastAsia="tr-TR"/>
        </w:rPr>
        <w:t>0.5</w:t>
      </w:r>
      <w:proofErr w:type="gramEnd"/>
      <w:r w:rsidRPr="0045530E">
        <w:rPr>
          <w:rFonts w:ascii="inherit" w:eastAsia="Times New Roman" w:hAnsi="inherit" w:cs="Arial"/>
          <w:color w:val="222222"/>
          <w:sz w:val="21"/>
          <w:szCs w:val="21"/>
          <w:lang w:eastAsia="tr-TR"/>
        </w:rPr>
        <w:t>%) compared to patients on either diclofenac 75 mg twice daily (1.3%) or ibuprofen 800 mg three times daily 1.9%. The lower incidence of events with celecoxib was maintained with or without ASA use [see Clinical Pharmacology (</w:t>
      </w:r>
      <w:proofErr w:type="gramStart"/>
      <w:r w:rsidRPr="0045530E">
        <w:rPr>
          <w:rFonts w:ascii="inherit" w:eastAsia="Times New Roman" w:hAnsi="inherit" w:cs="Arial"/>
          <w:color w:val="222222"/>
          <w:sz w:val="21"/>
          <w:szCs w:val="21"/>
          <w:lang w:eastAsia="tr-TR"/>
        </w:rPr>
        <w:t>12.2</w:t>
      </w:r>
      <w:proofErr w:type="gramEnd"/>
      <w:r w:rsidRPr="0045530E">
        <w:rPr>
          <w:rFonts w:ascii="inherit" w:eastAsia="Times New Roman" w:hAnsi="inherit" w:cs="Arial"/>
          <w:color w:val="222222"/>
          <w:sz w:val="21"/>
          <w:szCs w:val="21"/>
          <w:lang w:eastAsia="tr-TR"/>
        </w:rPr>
        <w:t>)].</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i/>
          <w:iCs/>
          <w:color w:val="222222"/>
          <w:sz w:val="21"/>
          <w:szCs w:val="21"/>
          <w:bdr w:val="none" w:sz="0" w:space="0" w:color="auto" w:frame="1"/>
          <w:lang w:eastAsia="tr-TR"/>
        </w:rPr>
        <w:t>Withdrawals/Serious Adverse Events:</w:t>
      </w:r>
      <w:r w:rsidRPr="0045530E">
        <w:rPr>
          <w:rFonts w:ascii="inherit" w:eastAsia="Times New Roman" w:hAnsi="inherit" w:cs="Arial"/>
          <w:color w:val="222222"/>
          <w:sz w:val="21"/>
          <w:szCs w:val="21"/>
          <w:lang w:eastAsia="tr-TR"/>
        </w:rPr>
        <w:t> Kaplan-Meier cumulative rates at 9 months for withdrawals due to adverse events for celecoxib, diclofenac and ibuprofen were 24%, 29%, and 26%, respectively. Rates for serious adverse events (i.e</w:t>
      </w:r>
      <w:proofErr w:type="gramStart"/>
      <w:r w:rsidRPr="0045530E">
        <w:rPr>
          <w:rFonts w:ascii="inherit" w:eastAsia="Times New Roman" w:hAnsi="inherit" w:cs="Arial"/>
          <w:color w:val="222222"/>
          <w:sz w:val="21"/>
          <w:szCs w:val="21"/>
          <w:lang w:eastAsia="tr-TR"/>
        </w:rPr>
        <w:t>.,</w:t>
      </w:r>
      <w:proofErr w:type="gramEnd"/>
      <w:r w:rsidRPr="0045530E">
        <w:rPr>
          <w:rFonts w:ascii="inherit" w:eastAsia="Times New Roman" w:hAnsi="inherit" w:cs="Arial"/>
          <w:color w:val="222222"/>
          <w:sz w:val="21"/>
          <w:szCs w:val="21"/>
          <w:lang w:eastAsia="tr-TR"/>
        </w:rPr>
        <w:t xml:space="preserve"> causing hospitalization or felt to be life-threatening or otherwise medically significant), regardless of causality, were not different across treatment groups (8%, 7%, and 8%, respectively).</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75" w:name="L013f8b8c-9fc8-4c13-9858-1f46d4fd6e97"/>
      <w:bookmarkStart w:id="76" w:name="section-6.3"/>
      <w:bookmarkEnd w:id="75"/>
      <w:bookmarkEnd w:id="76"/>
      <w:r w:rsidRPr="0045530E">
        <w:rPr>
          <w:rFonts w:ascii="inherit" w:eastAsia="Times New Roman" w:hAnsi="inherit" w:cs="Arial"/>
          <w:b/>
          <w:bCs/>
          <w:color w:val="222222"/>
          <w:sz w:val="36"/>
          <w:szCs w:val="36"/>
          <w:lang w:eastAsia="tr-TR"/>
        </w:rPr>
        <w:t>6.3 Juvenile Rheumatoid Arthritis Study</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 xml:space="preserve">In a 12-week, double-blind, active-controlled study, 242 JRA patients 2 years to 17 years of age were treated with celecoxib or naproxen; 77 JRA patients were treated with celecoxib 3 mg/kg BID, 82 patients were treated with celecoxib 6 mg/kg BID, and 83 patients were treated with naproxen </w:t>
      </w:r>
      <w:proofErr w:type="gramStart"/>
      <w:r w:rsidRPr="0045530E">
        <w:rPr>
          <w:rFonts w:ascii="inherit" w:eastAsia="Times New Roman" w:hAnsi="inherit" w:cs="Arial"/>
          <w:color w:val="222222"/>
          <w:sz w:val="21"/>
          <w:szCs w:val="21"/>
          <w:lang w:eastAsia="tr-TR"/>
        </w:rPr>
        <w:t>7.5</w:t>
      </w:r>
      <w:proofErr w:type="gramEnd"/>
      <w:r w:rsidRPr="0045530E">
        <w:rPr>
          <w:rFonts w:ascii="inherit" w:eastAsia="Times New Roman" w:hAnsi="inherit" w:cs="Arial"/>
          <w:color w:val="222222"/>
          <w:sz w:val="21"/>
          <w:szCs w:val="21"/>
          <w:lang w:eastAsia="tr-TR"/>
        </w:rPr>
        <w:t xml:space="preserve"> mg/kg BID. The most commonly occurring (</w:t>
      </w:r>
      <w:r w:rsidRPr="0045530E">
        <w:rPr>
          <w:rFonts w:ascii="inherit" w:eastAsia="Times New Roman" w:hAnsi="inherit" w:cs="Arial"/>
          <w:color w:val="222222"/>
          <w:sz w:val="21"/>
          <w:szCs w:val="21"/>
          <w:u w:val="single"/>
          <w:bdr w:val="none" w:sz="0" w:space="0" w:color="auto" w:frame="1"/>
          <w:lang w:eastAsia="tr-TR"/>
        </w:rPr>
        <w:t>&gt;</w:t>
      </w:r>
      <w:r w:rsidRPr="0045530E">
        <w:rPr>
          <w:rFonts w:ascii="inherit" w:eastAsia="Times New Roman" w:hAnsi="inherit" w:cs="Arial"/>
          <w:color w:val="222222"/>
          <w:sz w:val="21"/>
          <w:szCs w:val="21"/>
          <w:lang w:eastAsia="tr-TR"/>
        </w:rPr>
        <w:t>5%) adverse events in celecoxib treated patients were headache, fever (pyrexia), upper abdominal pain, cough, nasopharyngitis, abdominal pain, nausea, arthralgia, diarrhea and vomiting. The most commonly occurring (</w:t>
      </w:r>
      <w:r w:rsidRPr="0045530E">
        <w:rPr>
          <w:rFonts w:ascii="inherit" w:eastAsia="Times New Roman" w:hAnsi="inherit" w:cs="Arial"/>
          <w:color w:val="222222"/>
          <w:sz w:val="21"/>
          <w:szCs w:val="21"/>
          <w:u w:val="single"/>
          <w:bdr w:val="none" w:sz="0" w:space="0" w:color="auto" w:frame="1"/>
          <w:lang w:eastAsia="tr-TR"/>
        </w:rPr>
        <w:t>&gt;</w:t>
      </w:r>
      <w:r w:rsidRPr="0045530E">
        <w:rPr>
          <w:rFonts w:ascii="inherit" w:eastAsia="Times New Roman" w:hAnsi="inherit" w:cs="Arial"/>
          <w:color w:val="222222"/>
          <w:sz w:val="21"/>
          <w:szCs w:val="21"/>
          <w:lang w:eastAsia="tr-TR"/>
        </w:rPr>
        <w:t>5%) adverse experiences for naproxen-treated patients were headache, nausea, vomiting, fever, upper abdominal pain, diarrhea, cough, abdominal pain, and dizziness (Table 2). Compared with naproxen, celecoxib at doses of 3 and 6 mg/kg BID had no observable deleterious effect on growth and development during the course of the 12-week doubleblind study. There was no substantial difference in the number of clinical exacerbations of uveitis or systemic features of JRA among treatment groups.</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In a 12-week, open-label extension of the double-blind study described above, 202 JRA patients were treated with celecoxib 6 mg/kg BID. The incidence of adverse events was similar to that observed during the double-blind study; no unexpected adverse events of clinical importance emerged.</w:t>
      </w:r>
    </w:p>
    <w:p w:rsidR="0045530E" w:rsidRPr="0045530E" w:rsidRDefault="0045530E" w:rsidP="0045530E">
      <w:pPr>
        <w:shd w:val="clear" w:color="auto" w:fill="FFFFFF"/>
        <w:spacing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color w:val="222222"/>
          <w:sz w:val="21"/>
          <w:szCs w:val="21"/>
          <w:bdr w:val="none" w:sz="0" w:space="0" w:color="auto" w:frame="1"/>
          <w:lang w:eastAsia="tr-TR"/>
        </w:rPr>
        <w:t>Table 2: Adverse Events Occurring in </w:t>
      </w:r>
      <w:r w:rsidRPr="0045530E">
        <w:rPr>
          <w:rFonts w:ascii="inherit" w:eastAsia="Times New Roman" w:hAnsi="inherit" w:cs="Arial"/>
          <w:b/>
          <w:bCs/>
          <w:color w:val="222222"/>
          <w:sz w:val="21"/>
          <w:szCs w:val="21"/>
          <w:u w:val="single"/>
          <w:bdr w:val="none" w:sz="0" w:space="0" w:color="auto" w:frame="1"/>
          <w:lang w:eastAsia="tr-TR"/>
        </w:rPr>
        <w:t>&gt;</w:t>
      </w:r>
      <w:r w:rsidRPr="0045530E">
        <w:rPr>
          <w:rFonts w:ascii="inherit" w:eastAsia="Times New Roman" w:hAnsi="inherit" w:cs="Arial"/>
          <w:b/>
          <w:bCs/>
          <w:color w:val="222222"/>
          <w:sz w:val="21"/>
          <w:szCs w:val="21"/>
          <w:bdr w:val="none" w:sz="0" w:space="0" w:color="auto" w:frame="1"/>
          <w:lang w:eastAsia="tr-TR"/>
        </w:rPr>
        <w:t>5% of JRA Patients in Any Treatment Group, by System Organ Class (% of patients with events)</w:t>
      </w:r>
    </w:p>
    <w:tbl>
      <w:tblPr>
        <w:tblW w:w="5000" w:type="pct"/>
        <w:tblCellMar>
          <w:left w:w="0" w:type="dxa"/>
          <w:right w:w="0" w:type="dxa"/>
        </w:tblCellMar>
        <w:tblLook w:val="04A0" w:firstRow="1" w:lastRow="0" w:firstColumn="1" w:lastColumn="0" w:noHBand="0" w:noVBand="1"/>
      </w:tblPr>
      <w:tblGrid>
        <w:gridCol w:w="2821"/>
        <w:gridCol w:w="2754"/>
        <w:gridCol w:w="1770"/>
        <w:gridCol w:w="1907"/>
      </w:tblGrid>
      <w:tr w:rsidR="0045530E" w:rsidRPr="0045530E" w:rsidTr="0045530E">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p>
        </w:tc>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sz w:val="24"/>
                <w:szCs w:val="24"/>
                <w:bdr w:val="none" w:sz="0" w:space="0" w:color="auto" w:frame="1"/>
                <w:lang w:eastAsia="tr-TR"/>
              </w:rPr>
              <w:t>All Doses Twice Daily</w:t>
            </w:r>
          </w:p>
        </w:tc>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p>
        </w:tc>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p>
        </w:tc>
      </w:tr>
      <w:tr w:rsidR="0045530E" w:rsidRPr="0045530E" w:rsidTr="0045530E">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sz w:val="24"/>
                <w:szCs w:val="24"/>
                <w:bdr w:val="none" w:sz="0" w:space="0" w:color="auto" w:frame="1"/>
                <w:lang w:eastAsia="tr-TR"/>
              </w:rPr>
              <w:t>System Organ</w:t>
            </w:r>
            <w:r w:rsidRPr="0045530E">
              <w:rPr>
                <w:rFonts w:ascii="inherit" w:eastAsia="Times New Roman" w:hAnsi="inherit" w:cs="Times New Roman"/>
                <w:sz w:val="24"/>
                <w:szCs w:val="24"/>
                <w:lang w:eastAsia="tr-TR"/>
              </w:rPr>
              <w:t> </w:t>
            </w:r>
            <w:r w:rsidRPr="0045530E">
              <w:rPr>
                <w:rFonts w:ascii="inherit" w:eastAsia="Times New Roman" w:hAnsi="inherit" w:cs="Times New Roman"/>
                <w:sz w:val="24"/>
                <w:szCs w:val="24"/>
                <w:lang w:eastAsia="tr-TR"/>
              </w:rPr>
              <w:br/>
            </w:r>
            <w:r w:rsidRPr="0045530E">
              <w:rPr>
                <w:rFonts w:ascii="inherit" w:eastAsia="Times New Roman" w:hAnsi="inherit" w:cs="Times New Roman"/>
                <w:b/>
                <w:bCs/>
                <w:sz w:val="24"/>
                <w:szCs w:val="24"/>
                <w:bdr w:val="none" w:sz="0" w:space="0" w:color="auto" w:frame="1"/>
                <w:lang w:eastAsia="tr-TR"/>
              </w:rPr>
              <w:t>ClassPreferred Term</w:t>
            </w:r>
          </w:p>
        </w:tc>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sz w:val="24"/>
                <w:szCs w:val="24"/>
                <w:bdr w:val="none" w:sz="0" w:space="0" w:color="auto" w:frame="1"/>
                <w:lang w:eastAsia="tr-TR"/>
              </w:rPr>
              <w:t>Celecoxib</w:t>
            </w:r>
            <w:r w:rsidRPr="0045530E">
              <w:rPr>
                <w:rFonts w:ascii="inherit" w:eastAsia="Times New Roman" w:hAnsi="inherit" w:cs="Times New Roman"/>
                <w:sz w:val="24"/>
                <w:szCs w:val="24"/>
                <w:lang w:eastAsia="tr-TR"/>
              </w:rPr>
              <w:t> </w:t>
            </w:r>
            <w:r w:rsidRPr="0045530E">
              <w:rPr>
                <w:rFonts w:ascii="inherit" w:eastAsia="Times New Roman" w:hAnsi="inherit" w:cs="Times New Roman"/>
                <w:sz w:val="24"/>
                <w:szCs w:val="24"/>
                <w:lang w:eastAsia="tr-TR"/>
              </w:rPr>
              <w:br/>
            </w:r>
            <w:r w:rsidRPr="0045530E">
              <w:rPr>
                <w:rFonts w:ascii="inherit" w:eastAsia="Times New Roman" w:hAnsi="inherit" w:cs="Times New Roman"/>
                <w:b/>
                <w:bCs/>
                <w:sz w:val="24"/>
                <w:szCs w:val="24"/>
                <w:bdr w:val="none" w:sz="0" w:space="0" w:color="auto" w:frame="1"/>
                <w:lang w:eastAsia="tr-TR"/>
              </w:rPr>
              <w:t>3 mg/kgN=77</w:t>
            </w:r>
          </w:p>
        </w:tc>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sz w:val="24"/>
                <w:szCs w:val="24"/>
                <w:bdr w:val="none" w:sz="0" w:space="0" w:color="auto" w:frame="1"/>
                <w:lang w:eastAsia="tr-TR"/>
              </w:rPr>
              <w:t>Celecoxib</w:t>
            </w:r>
            <w:r w:rsidRPr="0045530E">
              <w:rPr>
                <w:rFonts w:ascii="inherit" w:eastAsia="Times New Roman" w:hAnsi="inherit" w:cs="Times New Roman"/>
                <w:sz w:val="24"/>
                <w:szCs w:val="24"/>
                <w:lang w:eastAsia="tr-TR"/>
              </w:rPr>
              <w:t> </w:t>
            </w:r>
            <w:r w:rsidRPr="0045530E">
              <w:rPr>
                <w:rFonts w:ascii="inherit" w:eastAsia="Times New Roman" w:hAnsi="inherit" w:cs="Times New Roman"/>
                <w:sz w:val="24"/>
                <w:szCs w:val="24"/>
                <w:lang w:eastAsia="tr-TR"/>
              </w:rPr>
              <w:br/>
            </w:r>
            <w:r w:rsidRPr="0045530E">
              <w:rPr>
                <w:rFonts w:ascii="inherit" w:eastAsia="Times New Roman" w:hAnsi="inherit" w:cs="Times New Roman"/>
                <w:b/>
                <w:bCs/>
                <w:sz w:val="24"/>
                <w:szCs w:val="24"/>
                <w:bdr w:val="none" w:sz="0" w:space="0" w:color="auto" w:frame="1"/>
                <w:lang w:eastAsia="tr-TR"/>
              </w:rPr>
              <w:t>6 mg/kgN=82</w:t>
            </w:r>
          </w:p>
        </w:tc>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sz w:val="24"/>
                <w:szCs w:val="24"/>
                <w:bdr w:val="none" w:sz="0" w:space="0" w:color="auto" w:frame="1"/>
                <w:lang w:eastAsia="tr-TR"/>
              </w:rPr>
              <w:t>Naproxen</w:t>
            </w:r>
            <w:r w:rsidRPr="0045530E">
              <w:rPr>
                <w:rFonts w:ascii="inherit" w:eastAsia="Times New Roman" w:hAnsi="inherit" w:cs="Times New Roman"/>
                <w:sz w:val="24"/>
                <w:szCs w:val="24"/>
                <w:lang w:eastAsia="tr-TR"/>
              </w:rPr>
              <w:t> </w:t>
            </w:r>
            <w:r w:rsidRPr="0045530E">
              <w:rPr>
                <w:rFonts w:ascii="inherit" w:eastAsia="Times New Roman" w:hAnsi="inherit" w:cs="Times New Roman"/>
                <w:sz w:val="24"/>
                <w:szCs w:val="24"/>
                <w:lang w:eastAsia="tr-TR"/>
              </w:rPr>
              <w:br/>
            </w:r>
            <w:r w:rsidRPr="0045530E">
              <w:rPr>
                <w:rFonts w:ascii="inherit" w:eastAsia="Times New Roman" w:hAnsi="inherit" w:cs="Times New Roman"/>
                <w:b/>
                <w:bCs/>
                <w:sz w:val="24"/>
                <w:szCs w:val="24"/>
                <w:bdr w:val="none" w:sz="0" w:space="0" w:color="auto" w:frame="1"/>
                <w:lang w:eastAsia="tr-TR"/>
              </w:rPr>
              <w:t>7.5mg/kgN=83</w:t>
            </w:r>
          </w:p>
        </w:tc>
      </w:tr>
      <w:tr w:rsidR="0045530E" w:rsidRPr="0045530E" w:rsidTr="0045530E">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sz w:val="24"/>
                <w:szCs w:val="24"/>
                <w:bdr w:val="none" w:sz="0" w:space="0" w:color="auto" w:frame="1"/>
                <w:lang w:eastAsia="tr-TR"/>
              </w:rPr>
              <w:t>Any Event</w:t>
            </w:r>
          </w:p>
        </w:tc>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64</w:t>
            </w:r>
          </w:p>
        </w:tc>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70</w:t>
            </w:r>
          </w:p>
        </w:tc>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72</w:t>
            </w:r>
          </w:p>
        </w:tc>
      </w:tr>
      <w:tr w:rsidR="0045530E" w:rsidRPr="0045530E" w:rsidTr="0045530E">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sz w:val="24"/>
                <w:szCs w:val="24"/>
                <w:bdr w:val="none" w:sz="0" w:space="0" w:color="auto" w:frame="1"/>
                <w:lang w:eastAsia="tr-TR"/>
              </w:rPr>
              <w:t>Eye Disorders</w:t>
            </w:r>
          </w:p>
        </w:tc>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5 </w:t>
            </w:r>
          </w:p>
        </w:tc>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5 </w:t>
            </w:r>
          </w:p>
        </w:tc>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5 </w:t>
            </w:r>
          </w:p>
        </w:tc>
      </w:tr>
      <w:tr w:rsidR="0045530E" w:rsidRPr="0045530E" w:rsidTr="0045530E">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sz w:val="24"/>
                <w:szCs w:val="24"/>
                <w:bdr w:val="none" w:sz="0" w:space="0" w:color="auto" w:frame="1"/>
                <w:lang w:eastAsia="tr-TR"/>
              </w:rPr>
              <w:t>Gastrointestinal</w:t>
            </w:r>
          </w:p>
        </w:tc>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26 </w:t>
            </w:r>
          </w:p>
        </w:tc>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36 </w:t>
            </w:r>
          </w:p>
        </w:tc>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36 </w:t>
            </w:r>
          </w:p>
        </w:tc>
      </w:tr>
      <w:tr w:rsidR="0045530E" w:rsidRPr="0045530E" w:rsidTr="0045530E">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Abdominal pain NOS</w:t>
            </w:r>
          </w:p>
        </w:tc>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4 </w:t>
            </w:r>
          </w:p>
        </w:tc>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7 </w:t>
            </w:r>
          </w:p>
        </w:tc>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7 </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Abdominal pain upper</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8 </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6 </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10 </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Vomiting NOS</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3 </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6</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11 </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Diarrhea NOS</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5 </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4 </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8 </w:t>
            </w:r>
          </w:p>
        </w:tc>
      </w:tr>
      <w:tr w:rsidR="0045530E" w:rsidRPr="0045530E" w:rsidTr="0045530E">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Nausea</w:t>
            </w:r>
          </w:p>
        </w:tc>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7 </w:t>
            </w:r>
          </w:p>
        </w:tc>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4 </w:t>
            </w:r>
          </w:p>
        </w:tc>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11 </w:t>
            </w:r>
          </w:p>
        </w:tc>
      </w:tr>
      <w:tr w:rsidR="0045530E" w:rsidRPr="0045530E" w:rsidTr="0045530E">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sz w:val="24"/>
                <w:szCs w:val="24"/>
                <w:bdr w:val="none" w:sz="0" w:space="0" w:color="auto" w:frame="1"/>
                <w:lang w:eastAsia="tr-TR"/>
              </w:rPr>
              <w:t>General</w:t>
            </w:r>
          </w:p>
        </w:tc>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13 </w:t>
            </w:r>
          </w:p>
        </w:tc>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11 </w:t>
            </w:r>
          </w:p>
        </w:tc>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18 </w:t>
            </w:r>
          </w:p>
        </w:tc>
      </w:tr>
      <w:tr w:rsidR="0045530E" w:rsidRPr="0045530E" w:rsidTr="0045530E">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Pyrexia</w:t>
            </w:r>
          </w:p>
        </w:tc>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8 </w:t>
            </w:r>
          </w:p>
        </w:tc>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9</w:t>
            </w:r>
          </w:p>
        </w:tc>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11 </w:t>
            </w:r>
          </w:p>
        </w:tc>
      </w:tr>
      <w:tr w:rsidR="0045530E" w:rsidRPr="0045530E" w:rsidTr="0045530E">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sz w:val="24"/>
                <w:szCs w:val="24"/>
                <w:bdr w:val="none" w:sz="0" w:space="0" w:color="auto" w:frame="1"/>
                <w:lang w:eastAsia="tr-TR"/>
              </w:rPr>
              <w:t>Infections</w:t>
            </w:r>
          </w:p>
        </w:tc>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25 </w:t>
            </w:r>
          </w:p>
        </w:tc>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20</w:t>
            </w:r>
          </w:p>
        </w:tc>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27 </w:t>
            </w:r>
          </w:p>
        </w:tc>
      </w:tr>
      <w:tr w:rsidR="0045530E" w:rsidRPr="0045530E" w:rsidTr="0045530E">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Nasopharyngitis</w:t>
            </w:r>
          </w:p>
        </w:tc>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5 </w:t>
            </w:r>
          </w:p>
        </w:tc>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6 </w:t>
            </w:r>
          </w:p>
        </w:tc>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5 </w:t>
            </w:r>
          </w:p>
        </w:tc>
      </w:tr>
      <w:tr w:rsidR="0045530E" w:rsidRPr="0045530E" w:rsidTr="0045530E">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sz w:val="24"/>
                <w:szCs w:val="24"/>
                <w:bdr w:val="none" w:sz="0" w:space="0" w:color="auto" w:frame="1"/>
                <w:lang w:eastAsia="tr-TR"/>
              </w:rPr>
              <w:t>Injury and Poisoning</w:t>
            </w:r>
          </w:p>
        </w:tc>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4</w:t>
            </w:r>
          </w:p>
        </w:tc>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6 </w:t>
            </w:r>
          </w:p>
        </w:tc>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5 </w:t>
            </w:r>
          </w:p>
        </w:tc>
      </w:tr>
      <w:tr w:rsidR="0045530E" w:rsidRPr="0045530E" w:rsidTr="0045530E">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sz w:val="24"/>
                <w:szCs w:val="24"/>
                <w:bdr w:val="none" w:sz="0" w:space="0" w:color="auto" w:frame="1"/>
                <w:lang w:eastAsia="tr-TR"/>
              </w:rPr>
              <w:t>Investigations*</w:t>
            </w:r>
          </w:p>
        </w:tc>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3 </w:t>
            </w:r>
          </w:p>
        </w:tc>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11 </w:t>
            </w:r>
          </w:p>
        </w:tc>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7 </w:t>
            </w:r>
          </w:p>
        </w:tc>
      </w:tr>
      <w:tr w:rsidR="0045530E" w:rsidRPr="0045530E" w:rsidTr="0045530E">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sz w:val="24"/>
                <w:szCs w:val="24"/>
                <w:bdr w:val="none" w:sz="0" w:space="0" w:color="auto" w:frame="1"/>
                <w:lang w:eastAsia="tr-TR"/>
              </w:rPr>
              <w:t>Musculoskeletal</w:t>
            </w:r>
          </w:p>
        </w:tc>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8 </w:t>
            </w:r>
          </w:p>
        </w:tc>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10 </w:t>
            </w:r>
          </w:p>
        </w:tc>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17 </w:t>
            </w:r>
          </w:p>
        </w:tc>
      </w:tr>
      <w:tr w:rsidR="0045530E" w:rsidRPr="0045530E" w:rsidTr="0045530E">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Arthralgia</w:t>
            </w:r>
          </w:p>
        </w:tc>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3 </w:t>
            </w:r>
          </w:p>
        </w:tc>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7 </w:t>
            </w:r>
          </w:p>
        </w:tc>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4 </w:t>
            </w:r>
          </w:p>
        </w:tc>
      </w:tr>
      <w:tr w:rsidR="0045530E" w:rsidRPr="0045530E" w:rsidTr="0045530E">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sz w:val="24"/>
                <w:szCs w:val="24"/>
                <w:bdr w:val="none" w:sz="0" w:space="0" w:color="auto" w:frame="1"/>
                <w:lang w:eastAsia="tr-TR"/>
              </w:rPr>
              <w:t>Nervous System</w:t>
            </w:r>
          </w:p>
        </w:tc>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17 </w:t>
            </w:r>
          </w:p>
        </w:tc>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11</w:t>
            </w:r>
          </w:p>
        </w:tc>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21 </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Headache NOS</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13 </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10</w:t>
            </w:r>
          </w:p>
        </w:tc>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16 </w:t>
            </w:r>
          </w:p>
        </w:tc>
      </w:tr>
      <w:tr w:rsidR="0045530E" w:rsidRPr="0045530E" w:rsidTr="0045530E">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Dizziness (excl vertigo)</w:t>
            </w:r>
          </w:p>
        </w:tc>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1 </w:t>
            </w:r>
          </w:p>
        </w:tc>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1</w:t>
            </w:r>
          </w:p>
        </w:tc>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7 </w:t>
            </w:r>
          </w:p>
        </w:tc>
      </w:tr>
      <w:tr w:rsidR="0045530E" w:rsidRPr="0045530E" w:rsidTr="0045530E">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sz w:val="24"/>
                <w:szCs w:val="24"/>
                <w:bdr w:val="none" w:sz="0" w:space="0" w:color="auto" w:frame="1"/>
                <w:lang w:eastAsia="tr-TR"/>
              </w:rPr>
              <w:t>Respiratory</w:t>
            </w:r>
          </w:p>
        </w:tc>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8 </w:t>
            </w:r>
          </w:p>
        </w:tc>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15</w:t>
            </w:r>
          </w:p>
        </w:tc>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15 </w:t>
            </w:r>
          </w:p>
        </w:tc>
      </w:tr>
      <w:tr w:rsidR="0045530E" w:rsidRPr="0045530E" w:rsidTr="0045530E">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Cough</w:t>
            </w:r>
          </w:p>
        </w:tc>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7 </w:t>
            </w:r>
          </w:p>
        </w:tc>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7</w:t>
            </w:r>
          </w:p>
        </w:tc>
        <w:tc>
          <w:tcPr>
            <w:tcW w:w="0" w:type="auto"/>
            <w:tcBorders>
              <w:top w:val="single" w:sz="6" w:space="0" w:color="000000"/>
              <w:left w:val="single" w:sz="6" w:space="0" w:color="000000"/>
              <w:bottom w:val="single" w:sz="18"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8 </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sz w:val="24"/>
                <w:szCs w:val="24"/>
                <w:bdr w:val="none" w:sz="0" w:space="0" w:color="auto" w:frame="1"/>
                <w:lang w:eastAsia="tr-TR"/>
              </w:rPr>
              <w:t>Skin &amp; Subcutaneous</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10 </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7</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18 </w:t>
            </w:r>
          </w:p>
        </w:tc>
      </w:tr>
    </w:tbl>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proofErr w:type="gramStart"/>
      <w:r w:rsidRPr="0045530E">
        <w:rPr>
          <w:rFonts w:ascii="inherit" w:eastAsia="Times New Roman" w:hAnsi="inherit" w:cs="Arial"/>
          <w:color w:val="222222"/>
          <w:sz w:val="21"/>
          <w:szCs w:val="21"/>
          <w:lang w:eastAsia="tr-TR"/>
        </w:rPr>
        <w:t>*Abnormal laboratory tests, which include: Prolonged activated partial thromboplastin time, Bacteriuria NOS present, Blood creatine phosphokinase increased, Blood culture positive, Blood glucose increased, Blood pressure increased, Blood uric acid increased, Hematocrit</w:t>
      </w:r>
      <w:r w:rsidRPr="0045530E">
        <w:rPr>
          <w:rFonts w:ascii="inherit" w:eastAsia="Times New Roman" w:hAnsi="inherit" w:cs="Arial"/>
          <w:color w:val="222222"/>
          <w:sz w:val="21"/>
          <w:szCs w:val="21"/>
          <w:lang w:eastAsia="tr-TR"/>
        </w:rPr>
        <w:br/>
        <w:t>decreased, Hematuria present, Hemoglobin decreased, Liver function tests NOS abnormal, Proteinuria present, Transaminase NOS increased, Urine analysis abnormal NOS</w:t>
      </w:r>
      <w:proofErr w:type="gramEnd"/>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77" w:name="Lca032a54-f9a8-4be7-b86c-48bfee8ff28c"/>
      <w:bookmarkStart w:id="78" w:name="section-6.4"/>
      <w:bookmarkEnd w:id="77"/>
      <w:bookmarkEnd w:id="78"/>
      <w:r w:rsidRPr="0045530E">
        <w:rPr>
          <w:rFonts w:ascii="inherit" w:eastAsia="Times New Roman" w:hAnsi="inherit" w:cs="Arial"/>
          <w:b/>
          <w:bCs/>
          <w:color w:val="222222"/>
          <w:sz w:val="36"/>
          <w:szCs w:val="36"/>
          <w:lang w:eastAsia="tr-TR"/>
        </w:rPr>
        <w:t>6.4 Other Pre-Approval Studies</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i/>
          <w:iCs/>
          <w:color w:val="222222"/>
          <w:sz w:val="21"/>
          <w:szCs w:val="21"/>
          <w:bdr w:val="none" w:sz="0" w:space="0" w:color="auto" w:frame="1"/>
          <w:lang w:eastAsia="tr-TR"/>
        </w:rPr>
        <w:t>Adverse Events from Ankylosing Spondylitis Studies:</w:t>
      </w:r>
      <w:r w:rsidRPr="0045530E">
        <w:rPr>
          <w:rFonts w:ascii="inherit" w:eastAsia="Times New Roman" w:hAnsi="inherit" w:cs="Arial"/>
          <w:color w:val="222222"/>
          <w:sz w:val="21"/>
          <w:szCs w:val="21"/>
          <w:lang w:eastAsia="tr-TR"/>
        </w:rPr>
        <w:t> A total of 378 patients were treated with celecoxib in placebo- and active-controlled AS studies. Doses up to 400 mg once daily were studied. The types of adverse events reported in the AS studies were similar to those reported in the OA/RA studies.</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i/>
          <w:iCs/>
          <w:color w:val="222222"/>
          <w:sz w:val="21"/>
          <w:szCs w:val="21"/>
          <w:bdr w:val="none" w:sz="0" w:space="0" w:color="auto" w:frame="1"/>
          <w:lang w:eastAsia="tr-TR"/>
        </w:rPr>
        <w:t>Adverse Events from Analgesia and Dysmenorrhea Studies:</w:t>
      </w:r>
      <w:r w:rsidRPr="0045530E">
        <w:rPr>
          <w:rFonts w:ascii="inherit" w:eastAsia="Times New Roman" w:hAnsi="inherit" w:cs="Arial"/>
          <w:color w:val="222222"/>
          <w:sz w:val="21"/>
          <w:szCs w:val="21"/>
          <w:lang w:eastAsia="tr-TR"/>
        </w:rPr>
        <w:t> Approximately 1,700 patients were treated with celecoxib in analgesia and dysmenorrhea studies. All patients in post-oral surgery pain studies received a single dose of study medication. Doses up to 600</w:t>
      </w:r>
      <w:r w:rsidRPr="0045530E">
        <w:rPr>
          <w:rFonts w:ascii="inherit" w:eastAsia="Times New Roman" w:hAnsi="inherit" w:cs="Arial"/>
          <w:color w:val="222222"/>
          <w:sz w:val="21"/>
          <w:szCs w:val="21"/>
          <w:lang w:eastAsia="tr-TR"/>
        </w:rPr>
        <w:br/>
        <w:t>mg/day of celecoxib were studied in primary dysmenorrhea and post-orthopedic surgery pain studies. The types of adverse events in the analgesia and dysmenorrhea studies were similar to those reported in arthritis studies. The only additional adverse event reported was postdental extraction alveolar osteitis (dry socket) in the post-oral surgery pain studies.</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79" w:name="L9cd8a55a-0f1b-4ae4-80c7-493d8319604a"/>
      <w:bookmarkStart w:id="80" w:name="section-6.5"/>
      <w:bookmarkEnd w:id="79"/>
      <w:bookmarkEnd w:id="80"/>
      <w:r w:rsidRPr="0045530E">
        <w:rPr>
          <w:rFonts w:ascii="inherit" w:eastAsia="Times New Roman" w:hAnsi="inherit" w:cs="Arial"/>
          <w:b/>
          <w:bCs/>
          <w:color w:val="222222"/>
          <w:sz w:val="36"/>
          <w:szCs w:val="36"/>
          <w:lang w:eastAsia="tr-TR"/>
        </w:rPr>
        <w:t>6.5 The APC and PreSAP Trials</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Adverse reactions from long-term, placebo-controlled polyp prevention studies: Exposure to celecoxib in the APC and PreSAP trials was 400 to 800 mg daily for up to 3 years </w:t>
      </w:r>
      <w:r w:rsidRPr="0045530E">
        <w:rPr>
          <w:rFonts w:ascii="inherit" w:eastAsia="Times New Roman" w:hAnsi="inherit" w:cs="Arial"/>
          <w:i/>
          <w:iCs/>
          <w:color w:val="222222"/>
          <w:sz w:val="21"/>
          <w:szCs w:val="21"/>
          <w:bdr w:val="none" w:sz="0" w:space="0" w:color="auto" w:frame="1"/>
          <w:lang w:eastAsia="tr-TR"/>
        </w:rPr>
        <w:t>[see Special Studies Adenomatous Polyp Prevention Studies (</w:t>
      </w:r>
      <w:proofErr w:type="gramStart"/>
      <w:r w:rsidRPr="0045530E">
        <w:rPr>
          <w:rFonts w:ascii="inherit" w:eastAsia="Times New Roman" w:hAnsi="inherit" w:cs="Arial"/>
          <w:i/>
          <w:iCs/>
          <w:color w:val="222222"/>
          <w:sz w:val="21"/>
          <w:szCs w:val="21"/>
          <w:bdr w:val="none" w:sz="0" w:space="0" w:color="auto" w:frame="1"/>
          <w:lang w:eastAsia="tr-TR"/>
        </w:rPr>
        <w:t>14.6</w:t>
      </w:r>
      <w:proofErr w:type="gramEnd"/>
      <w:r w:rsidRPr="0045530E">
        <w:rPr>
          <w:rFonts w:ascii="inherit" w:eastAsia="Times New Roman" w:hAnsi="inherit" w:cs="Arial"/>
          <w:i/>
          <w:iCs/>
          <w:color w:val="222222"/>
          <w:sz w:val="21"/>
          <w:szCs w:val="21"/>
          <w:bdr w:val="none" w:sz="0" w:space="0" w:color="auto" w:frame="1"/>
          <w:lang w:eastAsia="tr-TR"/>
        </w:rPr>
        <w:t>)].</w:t>
      </w:r>
    </w:p>
    <w:p w:rsidR="0045530E" w:rsidRPr="0045530E" w:rsidRDefault="0045530E" w:rsidP="0045530E">
      <w:pPr>
        <w:shd w:val="clear" w:color="auto" w:fill="FFFFFF"/>
        <w:spacing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Some adverse reactions occurred in higher percentages of patients than in the arthritis premarketing trials (treatment durations up to 12 weeks; see Adverse events from celecoxib premarketing controlled arthritis trials, above). The adverse reactions for which these differences in patients treated with celecoxib were greater as compared to the arthritis pre-</w:t>
      </w:r>
      <w:proofErr w:type="gramStart"/>
      <w:r w:rsidRPr="0045530E">
        <w:rPr>
          <w:rFonts w:ascii="inherit" w:eastAsia="Times New Roman" w:hAnsi="inherit" w:cs="Arial"/>
          <w:color w:val="222222"/>
          <w:sz w:val="21"/>
          <w:szCs w:val="21"/>
          <w:lang w:eastAsia="tr-TR"/>
        </w:rPr>
        <w:t>marketing</w:t>
      </w:r>
      <w:proofErr w:type="gramEnd"/>
      <w:r w:rsidRPr="0045530E">
        <w:rPr>
          <w:rFonts w:ascii="inherit" w:eastAsia="Times New Roman" w:hAnsi="inherit" w:cs="Arial"/>
          <w:color w:val="222222"/>
          <w:sz w:val="21"/>
          <w:szCs w:val="21"/>
          <w:lang w:eastAsia="tr-TR"/>
        </w:rPr>
        <w:t xml:space="preserve"> trials were as follows:</w:t>
      </w:r>
    </w:p>
    <w:tbl>
      <w:tblPr>
        <w:tblW w:w="5000" w:type="pct"/>
        <w:tblCellMar>
          <w:left w:w="0" w:type="dxa"/>
          <w:right w:w="0" w:type="dxa"/>
        </w:tblCellMar>
        <w:tblLook w:val="04A0" w:firstRow="1" w:lastRow="0" w:firstColumn="1" w:lastColumn="0" w:noHBand="0" w:noVBand="1"/>
      </w:tblPr>
      <w:tblGrid>
        <w:gridCol w:w="4525"/>
        <w:gridCol w:w="3301"/>
        <w:gridCol w:w="1426"/>
      </w:tblGrid>
      <w:tr w:rsidR="0045530E" w:rsidRPr="0045530E" w:rsidTr="0045530E">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sz w:val="24"/>
                <w:szCs w:val="24"/>
                <w:bdr w:val="none" w:sz="0" w:space="0" w:color="auto" w:frame="1"/>
                <w:lang w:eastAsia="tr-TR"/>
              </w:rPr>
              <w:t>Celecoxib</w:t>
            </w:r>
            <w:r w:rsidRPr="0045530E">
              <w:rPr>
                <w:rFonts w:ascii="inherit" w:eastAsia="Times New Roman" w:hAnsi="inherit" w:cs="Times New Roman"/>
                <w:sz w:val="24"/>
                <w:szCs w:val="24"/>
                <w:lang w:eastAsia="tr-TR"/>
              </w:rPr>
              <w:t> </w:t>
            </w:r>
            <w:r w:rsidRPr="0045530E">
              <w:rPr>
                <w:rFonts w:ascii="inherit" w:eastAsia="Times New Roman" w:hAnsi="inherit" w:cs="Times New Roman"/>
                <w:sz w:val="24"/>
                <w:szCs w:val="24"/>
                <w:lang w:eastAsia="tr-TR"/>
              </w:rPr>
              <w:br/>
            </w:r>
            <w:r w:rsidRPr="0045530E">
              <w:rPr>
                <w:rFonts w:ascii="inherit" w:eastAsia="Times New Roman" w:hAnsi="inherit" w:cs="Times New Roman"/>
                <w:b/>
                <w:bCs/>
                <w:sz w:val="24"/>
                <w:szCs w:val="24"/>
                <w:u w:val="single"/>
                <w:bdr w:val="none" w:sz="0" w:space="0" w:color="auto" w:frame="1"/>
                <w:lang w:eastAsia="tr-TR"/>
              </w:rPr>
              <w:t>(400 to 800 mg daily)</w:t>
            </w:r>
            <w:r w:rsidRPr="0045530E">
              <w:rPr>
                <w:rFonts w:ascii="inherit" w:eastAsia="Times New Roman" w:hAnsi="inherit" w:cs="Times New Roman"/>
                <w:sz w:val="24"/>
                <w:szCs w:val="24"/>
                <w:lang w:eastAsia="tr-TR"/>
              </w:rPr>
              <w:t> </w:t>
            </w:r>
            <w:r w:rsidRPr="0045530E">
              <w:rPr>
                <w:rFonts w:ascii="inherit" w:eastAsia="Times New Roman" w:hAnsi="inherit" w:cs="Times New Roman"/>
                <w:sz w:val="24"/>
                <w:szCs w:val="24"/>
                <w:lang w:eastAsia="tr-TR"/>
              </w:rPr>
              <w:br/>
            </w:r>
            <w:r w:rsidRPr="0045530E">
              <w:rPr>
                <w:rFonts w:ascii="inherit" w:eastAsia="Times New Roman" w:hAnsi="inherit" w:cs="Times New Roman"/>
                <w:b/>
                <w:bCs/>
                <w:sz w:val="24"/>
                <w:szCs w:val="24"/>
                <w:bdr w:val="none" w:sz="0" w:space="0" w:color="auto" w:frame="1"/>
                <w:lang w:eastAsia="tr-TR"/>
              </w:rPr>
              <w:t>N=2,285</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textAlignment w:val="baseline"/>
              <w:rPr>
                <w:rFonts w:ascii="inherit" w:eastAsia="Times New Roman" w:hAnsi="inherit" w:cs="Times New Roman"/>
                <w:sz w:val="24"/>
                <w:szCs w:val="24"/>
                <w:lang w:eastAsia="tr-TR"/>
              </w:rPr>
            </w:pPr>
            <w:r w:rsidRPr="0045530E">
              <w:rPr>
                <w:rFonts w:ascii="inherit" w:eastAsia="Times New Roman" w:hAnsi="inherit" w:cs="Times New Roman"/>
                <w:b/>
                <w:bCs/>
                <w:sz w:val="24"/>
                <w:szCs w:val="24"/>
                <w:u w:val="single"/>
                <w:bdr w:val="none" w:sz="0" w:space="0" w:color="auto" w:frame="1"/>
                <w:lang w:eastAsia="tr-TR"/>
              </w:rPr>
              <w:t>Placebo</w:t>
            </w:r>
          </w:p>
          <w:p w:rsidR="0045530E" w:rsidRPr="0045530E" w:rsidRDefault="0045530E" w:rsidP="0045530E">
            <w:pPr>
              <w:spacing w:after="0" w:line="240" w:lineRule="auto"/>
              <w:textAlignment w:val="baseline"/>
              <w:rPr>
                <w:rFonts w:ascii="inherit" w:eastAsia="Times New Roman" w:hAnsi="inherit" w:cs="Times New Roman"/>
                <w:sz w:val="24"/>
                <w:szCs w:val="24"/>
                <w:lang w:eastAsia="tr-TR"/>
              </w:rPr>
            </w:pPr>
            <w:r w:rsidRPr="0045530E">
              <w:rPr>
                <w:rFonts w:ascii="inherit" w:eastAsia="Times New Roman" w:hAnsi="inherit" w:cs="Times New Roman"/>
                <w:b/>
                <w:bCs/>
                <w:sz w:val="24"/>
                <w:szCs w:val="24"/>
                <w:bdr w:val="none" w:sz="0" w:space="0" w:color="auto" w:frame="1"/>
                <w:lang w:eastAsia="tr-TR"/>
              </w:rPr>
              <w:t>N=1,303</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Diarrhea</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10.5%</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7%</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Gastroesophageal reflux disease</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4.7%</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3.1%</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Nausea</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6.8%</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5.3%</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Vomiting</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3.2%</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2.1%</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Dyspnea</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2.8%</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1.6%</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Hypertension</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12.5%</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9.8%</w:t>
            </w:r>
          </w:p>
        </w:tc>
      </w:tr>
    </w:tbl>
    <w:p w:rsidR="0045530E" w:rsidRPr="0045530E" w:rsidRDefault="0045530E" w:rsidP="0045530E">
      <w:pPr>
        <w:shd w:val="clear" w:color="auto" w:fill="FFFFFF"/>
        <w:spacing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The following additional adverse reactions occurred in &gt;0.1% and &lt;1% of patients taking celecoxib, at an incidence greater than placebo in the long-term polyp prevention studies and were either not reported during the controlled arthritis pre-</w:t>
      </w:r>
      <w:proofErr w:type="gramStart"/>
      <w:r w:rsidRPr="0045530E">
        <w:rPr>
          <w:rFonts w:ascii="inherit" w:eastAsia="Times New Roman" w:hAnsi="inherit" w:cs="Arial"/>
          <w:color w:val="222222"/>
          <w:sz w:val="21"/>
          <w:szCs w:val="21"/>
          <w:lang w:eastAsia="tr-TR"/>
        </w:rPr>
        <w:t>marketing</w:t>
      </w:r>
      <w:proofErr w:type="gramEnd"/>
      <w:r w:rsidRPr="0045530E">
        <w:rPr>
          <w:rFonts w:ascii="inherit" w:eastAsia="Times New Roman" w:hAnsi="inherit" w:cs="Arial"/>
          <w:color w:val="222222"/>
          <w:sz w:val="21"/>
          <w:szCs w:val="21"/>
          <w:lang w:eastAsia="tr-TR"/>
        </w:rPr>
        <w:t xml:space="preserve"> trials or occurred with greater frequency in the long-term, placebo-controlled polyp prevention studies:</w:t>
      </w:r>
    </w:p>
    <w:tbl>
      <w:tblPr>
        <w:tblW w:w="5000" w:type="pct"/>
        <w:tblCellMar>
          <w:left w:w="0" w:type="dxa"/>
          <w:right w:w="0" w:type="dxa"/>
        </w:tblCellMar>
        <w:tblLook w:val="04A0" w:firstRow="1" w:lastRow="0" w:firstColumn="1" w:lastColumn="0" w:noHBand="0" w:noVBand="1"/>
      </w:tblPr>
      <w:tblGrid>
        <w:gridCol w:w="2932"/>
        <w:gridCol w:w="6320"/>
      </w:tblGrid>
      <w:tr w:rsidR="0045530E" w:rsidRPr="0045530E" w:rsidTr="0045530E">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textAlignment w:val="baseline"/>
              <w:rPr>
                <w:rFonts w:ascii="inherit" w:eastAsia="Times New Roman" w:hAnsi="inherit" w:cs="Times New Roman"/>
                <w:sz w:val="24"/>
                <w:szCs w:val="24"/>
                <w:lang w:eastAsia="tr-TR"/>
              </w:rPr>
            </w:pPr>
            <w:r w:rsidRPr="0045530E">
              <w:rPr>
                <w:rFonts w:ascii="inherit" w:eastAsia="Times New Roman" w:hAnsi="inherit" w:cs="Times New Roman"/>
                <w:b/>
                <w:bCs/>
                <w:i/>
                <w:iCs/>
                <w:sz w:val="24"/>
                <w:szCs w:val="24"/>
                <w:bdr w:val="none" w:sz="0" w:space="0" w:color="auto" w:frame="1"/>
                <w:lang w:eastAsia="tr-TR"/>
              </w:rPr>
              <w:t>Nervous system disorders:</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Cerebral infarction</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textAlignment w:val="baseline"/>
              <w:rPr>
                <w:rFonts w:ascii="inherit" w:eastAsia="Times New Roman" w:hAnsi="inherit" w:cs="Times New Roman"/>
                <w:sz w:val="24"/>
                <w:szCs w:val="24"/>
                <w:lang w:eastAsia="tr-TR"/>
              </w:rPr>
            </w:pPr>
            <w:r w:rsidRPr="0045530E">
              <w:rPr>
                <w:rFonts w:ascii="inherit" w:eastAsia="Times New Roman" w:hAnsi="inherit" w:cs="Times New Roman"/>
                <w:b/>
                <w:bCs/>
                <w:i/>
                <w:iCs/>
                <w:sz w:val="24"/>
                <w:szCs w:val="24"/>
                <w:bdr w:val="none" w:sz="0" w:space="0" w:color="auto" w:frame="1"/>
                <w:lang w:eastAsia="tr-TR"/>
              </w:rPr>
              <w:t>Eye disorders:</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Vitreous floaters, conjunctival hemorrhage</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textAlignment w:val="baseline"/>
              <w:rPr>
                <w:rFonts w:ascii="inherit" w:eastAsia="Times New Roman" w:hAnsi="inherit" w:cs="Times New Roman"/>
                <w:sz w:val="24"/>
                <w:szCs w:val="24"/>
                <w:lang w:eastAsia="tr-TR"/>
              </w:rPr>
            </w:pPr>
            <w:r w:rsidRPr="0045530E">
              <w:rPr>
                <w:rFonts w:ascii="inherit" w:eastAsia="Times New Roman" w:hAnsi="inherit" w:cs="Times New Roman"/>
                <w:b/>
                <w:bCs/>
                <w:i/>
                <w:iCs/>
                <w:sz w:val="24"/>
                <w:szCs w:val="24"/>
                <w:bdr w:val="none" w:sz="0" w:space="0" w:color="auto" w:frame="1"/>
                <w:lang w:eastAsia="tr-TR"/>
              </w:rPr>
              <w:t>Ear and labyrinth:</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Labyrinthitis</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textAlignment w:val="baseline"/>
              <w:rPr>
                <w:rFonts w:ascii="inherit" w:eastAsia="Times New Roman" w:hAnsi="inherit" w:cs="Times New Roman"/>
                <w:sz w:val="24"/>
                <w:szCs w:val="24"/>
                <w:lang w:eastAsia="tr-TR"/>
              </w:rPr>
            </w:pPr>
            <w:r w:rsidRPr="0045530E">
              <w:rPr>
                <w:rFonts w:ascii="inherit" w:eastAsia="Times New Roman" w:hAnsi="inherit" w:cs="Times New Roman"/>
                <w:b/>
                <w:bCs/>
                <w:i/>
                <w:iCs/>
                <w:sz w:val="24"/>
                <w:szCs w:val="24"/>
                <w:bdr w:val="none" w:sz="0" w:space="0" w:color="auto" w:frame="1"/>
                <w:lang w:eastAsia="tr-TR"/>
              </w:rPr>
              <w:t>Cardiac disorders:</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Angina unstable, aortic valve incompetence, coronary artery</w:t>
            </w:r>
            <w:r w:rsidRPr="0045530E">
              <w:rPr>
                <w:rFonts w:ascii="inherit" w:eastAsia="Times New Roman" w:hAnsi="inherit" w:cs="Times New Roman"/>
                <w:sz w:val="24"/>
                <w:szCs w:val="24"/>
                <w:lang w:eastAsia="tr-TR"/>
              </w:rPr>
              <w:br/>
              <w:t>atherosclerosis, sinus bradycardia, ventricular hypertrophy</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textAlignment w:val="baseline"/>
              <w:rPr>
                <w:rFonts w:ascii="inherit" w:eastAsia="Times New Roman" w:hAnsi="inherit" w:cs="Times New Roman"/>
                <w:sz w:val="24"/>
                <w:szCs w:val="24"/>
                <w:lang w:eastAsia="tr-TR"/>
              </w:rPr>
            </w:pPr>
            <w:r w:rsidRPr="0045530E">
              <w:rPr>
                <w:rFonts w:ascii="inherit" w:eastAsia="Times New Roman" w:hAnsi="inherit" w:cs="Times New Roman"/>
                <w:b/>
                <w:bCs/>
                <w:i/>
                <w:iCs/>
                <w:sz w:val="24"/>
                <w:szCs w:val="24"/>
                <w:bdr w:val="none" w:sz="0" w:space="0" w:color="auto" w:frame="1"/>
                <w:lang w:eastAsia="tr-TR"/>
              </w:rPr>
              <w:t>Vascular disorders:</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Deep vein thrombosis</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textAlignment w:val="baseline"/>
              <w:rPr>
                <w:rFonts w:ascii="inherit" w:eastAsia="Times New Roman" w:hAnsi="inherit" w:cs="Times New Roman"/>
                <w:sz w:val="24"/>
                <w:szCs w:val="24"/>
                <w:lang w:eastAsia="tr-TR"/>
              </w:rPr>
            </w:pPr>
            <w:r w:rsidRPr="0045530E">
              <w:rPr>
                <w:rFonts w:ascii="inherit" w:eastAsia="Times New Roman" w:hAnsi="inherit" w:cs="Times New Roman"/>
                <w:b/>
                <w:bCs/>
                <w:i/>
                <w:iCs/>
                <w:sz w:val="24"/>
                <w:szCs w:val="24"/>
                <w:bdr w:val="none" w:sz="0" w:space="0" w:color="auto" w:frame="1"/>
                <w:lang w:eastAsia="tr-TR"/>
              </w:rPr>
              <w:t>Reproductive system</w:t>
            </w:r>
            <w:r w:rsidRPr="0045530E">
              <w:rPr>
                <w:rFonts w:ascii="inherit" w:eastAsia="Times New Roman" w:hAnsi="inherit" w:cs="Times New Roman"/>
                <w:sz w:val="24"/>
                <w:szCs w:val="24"/>
                <w:lang w:eastAsia="tr-TR"/>
              </w:rPr>
              <w:t> </w:t>
            </w:r>
            <w:r w:rsidRPr="0045530E">
              <w:rPr>
                <w:rFonts w:ascii="inherit" w:eastAsia="Times New Roman" w:hAnsi="inherit" w:cs="Times New Roman"/>
                <w:sz w:val="24"/>
                <w:szCs w:val="24"/>
                <w:lang w:eastAsia="tr-TR"/>
              </w:rPr>
              <w:br/>
            </w:r>
            <w:r w:rsidRPr="0045530E">
              <w:rPr>
                <w:rFonts w:ascii="inherit" w:eastAsia="Times New Roman" w:hAnsi="inherit" w:cs="Times New Roman"/>
                <w:b/>
                <w:bCs/>
                <w:i/>
                <w:iCs/>
                <w:sz w:val="24"/>
                <w:szCs w:val="24"/>
                <w:bdr w:val="none" w:sz="0" w:space="0" w:color="auto" w:frame="1"/>
                <w:lang w:eastAsia="tr-TR"/>
              </w:rPr>
              <w:t>and breast disorders:</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Ovarian cyst</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textAlignment w:val="baseline"/>
              <w:rPr>
                <w:rFonts w:ascii="inherit" w:eastAsia="Times New Roman" w:hAnsi="inherit" w:cs="Times New Roman"/>
                <w:sz w:val="24"/>
                <w:szCs w:val="24"/>
                <w:lang w:eastAsia="tr-TR"/>
              </w:rPr>
            </w:pPr>
            <w:r w:rsidRPr="0045530E">
              <w:rPr>
                <w:rFonts w:ascii="inherit" w:eastAsia="Times New Roman" w:hAnsi="inherit" w:cs="Times New Roman"/>
                <w:b/>
                <w:bCs/>
                <w:i/>
                <w:iCs/>
                <w:sz w:val="24"/>
                <w:szCs w:val="24"/>
                <w:bdr w:val="none" w:sz="0" w:space="0" w:color="auto" w:frame="1"/>
                <w:lang w:eastAsia="tr-TR"/>
              </w:rPr>
              <w:t>Investigations:</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Blood potassium increased, blood sodium increased, blood</w:t>
            </w:r>
            <w:r w:rsidRPr="0045530E">
              <w:rPr>
                <w:rFonts w:ascii="inherit" w:eastAsia="Times New Roman" w:hAnsi="inherit" w:cs="Times New Roman"/>
                <w:sz w:val="24"/>
                <w:szCs w:val="24"/>
                <w:lang w:eastAsia="tr-TR"/>
              </w:rPr>
              <w:br/>
              <w:t>testosterone decreased</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i/>
                <w:iCs/>
                <w:sz w:val="24"/>
                <w:szCs w:val="24"/>
                <w:bdr w:val="none" w:sz="0" w:space="0" w:color="auto" w:frame="1"/>
                <w:lang w:eastAsia="tr-TR"/>
              </w:rPr>
              <w:t>Injury, poisoning and</w:t>
            </w:r>
            <w:r w:rsidRPr="0045530E">
              <w:rPr>
                <w:rFonts w:ascii="inherit" w:eastAsia="Times New Roman" w:hAnsi="inherit" w:cs="Times New Roman"/>
                <w:sz w:val="24"/>
                <w:szCs w:val="24"/>
                <w:lang w:eastAsia="tr-TR"/>
              </w:rPr>
              <w:t> </w:t>
            </w:r>
            <w:r w:rsidRPr="0045530E">
              <w:rPr>
                <w:rFonts w:ascii="inherit" w:eastAsia="Times New Roman" w:hAnsi="inherit" w:cs="Times New Roman"/>
                <w:sz w:val="24"/>
                <w:szCs w:val="24"/>
                <w:lang w:eastAsia="tr-TR"/>
              </w:rPr>
              <w:br/>
            </w:r>
            <w:r w:rsidRPr="0045530E">
              <w:rPr>
                <w:rFonts w:ascii="inherit" w:eastAsia="Times New Roman" w:hAnsi="inherit" w:cs="Times New Roman"/>
                <w:b/>
                <w:bCs/>
                <w:i/>
                <w:iCs/>
                <w:sz w:val="24"/>
                <w:szCs w:val="24"/>
                <w:bdr w:val="none" w:sz="0" w:space="0" w:color="auto" w:frame="1"/>
                <w:lang w:eastAsia="tr-TR"/>
              </w:rPr>
              <w:t>procedural complications:</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Epicondylitis, tendon rupture</w:t>
            </w:r>
          </w:p>
        </w:tc>
      </w:tr>
    </w:tbl>
    <w:p w:rsidR="0045530E" w:rsidRPr="0045530E" w:rsidRDefault="0045530E" w:rsidP="0045530E">
      <w:pPr>
        <w:shd w:val="clear" w:color="auto" w:fill="FFFFFF"/>
        <w:spacing w:after="75" w:line="240" w:lineRule="auto"/>
        <w:ind w:left="450"/>
        <w:textAlignment w:val="baseline"/>
        <w:rPr>
          <w:rFonts w:ascii="inherit" w:eastAsia="Times New Roman" w:hAnsi="inherit" w:cs="Arial"/>
          <w:color w:val="222222"/>
          <w:sz w:val="21"/>
          <w:szCs w:val="21"/>
          <w:lang w:eastAsia="tr-TR"/>
        </w:rPr>
      </w:pPr>
      <w:hyperlink r:id="rId148" w:history="1">
        <w:r w:rsidRPr="0045530E">
          <w:rPr>
            <w:rFonts w:ascii="Arial" w:eastAsia="Times New Roman" w:hAnsi="Arial" w:cs="Arial"/>
            <w:caps/>
            <w:color w:val="1D86BB"/>
            <w:sz w:val="18"/>
            <w:szCs w:val="18"/>
            <w:u w:val="single"/>
            <w:bdr w:val="none" w:sz="0" w:space="0" w:color="auto" w:frame="1"/>
            <w:lang w:eastAsia="tr-TR"/>
          </w:rPr>
          <w:t>CLOSE</w:t>
        </w:r>
      </w:hyperlink>
    </w:p>
    <w:p w:rsidR="0045530E" w:rsidRPr="0045530E" w:rsidRDefault="0045530E" w:rsidP="0045530E">
      <w:pPr>
        <w:numPr>
          <w:ilvl w:val="0"/>
          <w:numId w:val="9"/>
        </w:numPr>
        <w:shd w:val="clear" w:color="auto" w:fill="FFFFFF"/>
        <w:spacing w:after="0" w:line="240" w:lineRule="auto"/>
        <w:ind w:left="0"/>
        <w:textAlignment w:val="baseline"/>
        <w:rPr>
          <w:rFonts w:ascii="inherit" w:eastAsia="Times New Roman" w:hAnsi="inherit" w:cs="Arial"/>
          <w:color w:val="222222"/>
          <w:sz w:val="21"/>
          <w:szCs w:val="21"/>
          <w:lang w:eastAsia="tr-TR"/>
        </w:rPr>
      </w:pPr>
      <w:hyperlink r:id="rId149" w:history="1">
        <w:r w:rsidRPr="0045530E">
          <w:rPr>
            <w:rFonts w:ascii="Arial" w:eastAsia="Times New Roman" w:hAnsi="Arial" w:cs="Arial"/>
            <w:caps/>
            <w:color w:val="000000"/>
            <w:sz w:val="30"/>
            <w:szCs w:val="30"/>
            <w:u w:val="single"/>
            <w:bdr w:val="none" w:sz="0" w:space="0" w:color="auto" w:frame="1"/>
            <w:lang w:eastAsia="tr-TR"/>
          </w:rPr>
          <w:t>7 DRUG INTERACTIONS</w:t>
        </w:r>
      </w:hyperlink>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bookmarkStart w:id="81" w:name="L1783ef08-4a99-41f7-aad5-4b38e4afcaff"/>
      <w:bookmarkStart w:id="82" w:name="section-7"/>
      <w:bookmarkEnd w:id="81"/>
      <w:bookmarkEnd w:id="82"/>
      <w:r w:rsidRPr="0045530E">
        <w:rPr>
          <w:rFonts w:ascii="inherit" w:eastAsia="Times New Roman" w:hAnsi="inherit" w:cs="Arial"/>
          <w:b/>
          <w:bCs/>
          <w:color w:val="222222"/>
          <w:sz w:val="21"/>
          <w:szCs w:val="21"/>
          <w:bdr w:val="none" w:sz="0" w:space="0" w:color="auto" w:frame="1"/>
          <w:lang w:eastAsia="tr-TR"/>
        </w:rPr>
        <w:t>General:</w:t>
      </w:r>
      <w:r w:rsidRPr="0045530E">
        <w:rPr>
          <w:rFonts w:ascii="inherit" w:eastAsia="Times New Roman" w:hAnsi="inherit" w:cs="Arial"/>
          <w:color w:val="222222"/>
          <w:sz w:val="21"/>
          <w:szCs w:val="21"/>
          <w:lang w:eastAsia="tr-TR"/>
        </w:rPr>
        <w:t xml:space="preserve"> Celecoxib metabolism is predominantly mediated via cytochrome P450 (CYP) 2C9 in the liver. Co-administration of celecoxib with drugs that are known to inhibit CYP2C9 should be </w:t>
      </w:r>
      <w:proofErr w:type="gramStart"/>
      <w:r w:rsidRPr="0045530E">
        <w:rPr>
          <w:rFonts w:ascii="inherit" w:eastAsia="Times New Roman" w:hAnsi="inherit" w:cs="Arial"/>
          <w:color w:val="222222"/>
          <w:sz w:val="21"/>
          <w:szCs w:val="21"/>
          <w:lang w:eastAsia="tr-TR"/>
        </w:rPr>
        <w:t>done</w:t>
      </w:r>
      <w:proofErr w:type="gramEnd"/>
      <w:r w:rsidRPr="0045530E">
        <w:rPr>
          <w:rFonts w:ascii="inherit" w:eastAsia="Times New Roman" w:hAnsi="inherit" w:cs="Arial"/>
          <w:color w:val="222222"/>
          <w:sz w:val="21"/>
          <w:szCs w:val="21"/>
          <w:lang w:eastAsia="tr-TR"/>
        </w:rPr>
        <w:t xml:space="preserve"> with caution. Significant interactions may occur when celecoxib is administered together with drugs that inhibit CYP2C9. In vitro studies indicate that celecoxib, although not a substrate, is an inhibitor of CYP2D6. Therefore, there is a potential for an in vivo drug interaction with drugs that are metabolized by CYP2D6.</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i/>
          <w:iCs/>
          <w:color w:val="222222"/>
          <w:sz w:val="21"/>
          <w:szCs w:val="21"/>
          <w:bdr w:val="none" w:sz="0" w:space="0" w:color="auto" w:frame="1"/>
          <w:lang w:eastAsia="tr-TR"/>
        </w:rPr>
        <w:t>In vitro</w:t>
      </w:r>
      <w:r w:rsidRPr="0045530E">
        <w:rPr>
          <w:rFonts w:ascii="inherit" w:eastAsia="Times New Roman" w:hAnsi="inherit" w:cs="Arial"/>
          <w:color w:val="222222"/>
          <w:sz w:val="21"/>
          <w:szCs w:val="21"/>
          <w:lang w:eastAsia="tr-TR"/>
        </w:rPr>
        <w:t> studies indicate that celecoxib, although not a substrate, is an inhibitor of CYP2D6. Therefore, there is a potential for an in vivo drug interaction with drugs that are metabolized by CYP2D6.</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83" w:name="Lc8391c0e-950a-47b8-8652-f953fbc97fcb"/>
      <w:bookmarkStart w:id="84" w:name="section-7.1"/>
      <w:bookmarkEnd w:id="83"/>
      <w:bookmarkEnd w:id="84"/>
      <w:r w:rsidRPr="0045530E">
        <w:rPr>
          <w:rFonts w:ascii="inherit" w:eastAsia="Times New Roman" w:hAnsi="inherit" w:cs="Arial"/>
          <w:b/>
          <w:bCs/>
          <w:color w:val="222222"/>
          <w:sz w:val="36"/>
          <w:szCs w:val="36"/>
          <w:lang w:eastAsia="tr-TR"/>
        </w:rPr>
        <w:t>7.1 Warfarin</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Anticoagulant activity should be monitored, particularly in the first few days, after initiating or changing celecoxib therapy in patients receiving warfarin or similar agents, since these patients are at an increased risk of bleeding complications. The effect of celecoxib on the anticoagulant effect of warfarin was studied in a group of healthy subjects receiving daily 2 to 5 mg doses of warfarin. In these subjects, celecoxib did not alter the anticoagulant effect of warfarin as determined by prothrombin time. However, in postmarketing experience, serious bleeding events, some of which were fatal, have been reported, predominantly in the elderly, in association with increases in prothrombin time in patients receiving celecoxib concurrently with warfarin.</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85" w:name="L78420a50-4e51-4618-88a5-2b32a7be36bf"/>
      <w:bookmarkStart w:id="86" w:name="section-7.2"/>
      <w:bookmarkEnd w:id="85"/>
      <w:bookmarkEnd w:id="86"/>
      <w:r w:rsidRPr="0045530E">
        <w:rPr>
          <w:rFonts w:ascii="inherit" w:eastAsia="Times New Roman" w:hAnsi="inherit" w:cs="Arial"/>
          <w:b/>
          <w:bCs/>
          <w:color w:val="222222"/>
          <w:sz w:val="36"/>
          <w:szCs w:val="36"/>
          <w:lang w:eastAsia="tr-TR"/>
        </w:rPr>
        <w:t>7.2 Lithium</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In a study conducted in healthy subjects, mean steady-state lithium plasma levels increased approximately 17% in subjects receiving lithium 450 mg twice daily with celecoxib 200 mg twice daily as compared to subjects receiving lithium alone. Patients on lithium treatment should be closely monitored when celecoxib is introduced or with drawn.</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87" w:name="L3e4d74b6-d4d1-4a32-9ddb-15f38a5ba7a1"/>
      <w:bookmarkStart w:id="88" w:name="section-7.3"/>
      <w:bookmarkEnd w:id="87"/>
      <w:bookmarkEnd w:id="88"/>
      <w:r w:rsidRPr="0045530E">
        <w:rPr>
          <w:rFonts w:ascii="inherit" w:eastAsia="Times New Roman" w:hAnsi="inherit" w:cs="Arial"/>
          <w:b/>
          <w:bCs/>
          <w:color w:val="222222"/>
          <w:sz w:val="36"/>
          <w:szCs w:val="36"/>
          <w:lang w:eastAsia="tr-TR"/>
        </w:rPr>
        <w:t>7.3 Aspirin</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Celecoxib can be used with low-dose aspirin. However, concomitant administration of aspirin with celecoxib increases the rate of GI ulceration or other complications, compared to use of celecoxib alone [see Warnings and Precautions (</w:t>
      </w:r>
      <w:proofErr w:type="gramStart"/>
      <w:r w:rsidRPr="0045530E">
        <w:rPr>
          <w:rFonts w:ascii="inherit" w:eastAsia="Times New Roman" w:hAnsi="inherit" w:cs="Arial"/>
          <w:color w:val="222222"/>
          <w:sz w:val="21"/>
          <w:szCs w:val="21"/>
          <w:lang w:eastAsia="tr-TR"/>
        </w:rPr>
        <w:t>5.1</w:t>
      </w:r>
      <w:proofErr w:type="gramEnd"/>
      <w:r w:rsidRPr="0045530E">
        <w:rPr>
          <w:rFonts w:ascii="inherit" w:eastAsia="Times New Roman" w:hAnsi="inherit" w:cs="Arial"/>
          <w:color w:val="222222"/>
          <w:sz w:val="21"/>
          <w:szCs w:val="21"/>
          <w:lang w:eastAsia="tr-TR"/>
        </w:rPr>
        <w:t>, 5.4) and </w:t>
      </w:r>
      <w:r w:rsidRPr="0045530E">
        <w:rPr>
          <w:rFonts w:ascii="inherit" w:eastAsia="Times New Roman" w:hAnsi="inherit" w:cs="Arial"/>
          <w:i/>
          <w:iCs/>
          <w:color w:val="222222"/>
          <w:sz w:val="21"/>
          <w:szCs w:val="21"/>
          <w:bdr w:val="none" w:sz="0" w:space="0" w:color="auto" w:frame="1"/>
          <w:lang w:eastAsia="tr-TR"/>
        </w:rPr>
        <w:t>Clinical Studies (14.6)].</w:t>
      </w:r>
      <w:r w:rsidRPr="0045530E">
        <w:rPr>
          <w:rFonts w:ascii="inherit" w:eastAsia="Times New Roman" w:hAnsi="inherit" w:cs="Arial"/>
          <w:color w:val="222222"/>
          <w:sz w:val="21"/>
          <w:szCs w:val="21"/>
          <w:lang w:eastAsia="tr-TR"/>
        </w:rPr>
        <w:t> </w:t>
      </w:r>
      <w:r w:rsidRPr="0045530E">
        <w:rPr>
          <w:rFonts w:ascii="inherit" w:eastAsia="Times New Roman" w:hAnsi="inherit" w:cs="Arial"/>
          <w:color w:val="222222"/>
          <w:sz w:val="21"/>
          <w:szCs w:val="21"/>
          <w:lang w:eastAsia="tr-TR"/>
        </w:rPr>
        <w:br/>
      </w:r>
      <w:r w:rsidRPr="0045530E">
        <w:rPr>
          <w:rFonts w:ascii="inherit" w:eastAsia="Times New Roman" w:hAnsi="inherit" w:cs="Arial"/>
          <w:b/>
          <w:bCs/>
          <w:color w:val="222222"/>
          <w:sz w:val="21"/>
          <w:szCs w:val="21"/>
          <w:bdr w:val="none" w:sz="0" w:space="0" w:color="auto" w:frame="1"/>
          <w:lang w:eastAsia="tr-TR"/>
        </w:rPr>
        <w:t>Because of its lack of platelet effects, celecoxib is not a substitute for aspirin for cardiovascular prophylaxis </w:t>
      </w:r>
      <w:r w:rsidRPr="0045530E">
        <w:rPr>
          <w:rFonts w:ascii="inherit" w:eastAsia="Times New Roman" w:hAnsi="inherit" w:cs="Arial"/>
          <w:b/>
          <w:bCs/>
          <w:i/>
          <w:iCs/>
          <w:color w:val="222222"/>
          <w:sz w:val="21"/>
          <w:szCs w:val="21"/>
          <w:bdr w:val="none" w:sz="0" w:space="0" w:color="auto" w:frame="1"/>
          <w:lang w:eastAsia="tr-TR"/>
        </w:rPr>
        <w:t>[see Clinical Pharmacology (</w:t>
      </w:r>
      <w:proofErr w:type="gramStart"/>
      <w:r w:rsidRPr="0045530E">
        <w:rPr>
          <w:rFonts w:ascii="inherit" w:eastAsia="Times New Roman" w:hAnsi="inherit" w:cs="Arial"/>
          <w:b/>
          <w:bCs/>
          <w:i/>
          <w:iCs/>
          <w:color w:val="222222"/>
          <w:sz w:val="21"/>
          <w:szCs w:val="21"/>
          <w:bdr w:val="none" w:sz="0" w:space="0" w:color="auto" w:frame="1"/>
          <w:lang w:eastAsia="tr-TR"/>
        </w:rPr>
        <w:t>12.2</w:t>
      </w:r>
      <w:proofErr w:type="gramEnd"/>
      <w:r w:rsidRPr="0045530E">
        <w:rPr>
          <w:rFonts w:ascii="inherit" w:eastAsia="Times New Roman" w:hAnsi="inherit" w:cs="Arial"/>
          <w:b/>
          <w:bCs/>
          <w:i/>
          <w:iCs/>
          <w:color w:val="222222"/>
          <w:sz w:val="21"/>
          <w:szCs w:val="21"/>
          <w:bdr w:val="none" w:sz="0" w:space="0" w:color="auto" w:frame="1"/>
          <w:lang w:eastAsia="tr-TR"/>
        </w:rPr>
        <w:t>)].</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89" w:name="L6d3c1037-9458-4932-a343-7e2cdd95dee3"/>
      <w:bookmarkStart w:id="90" w:name="section-7.4"/>
      <w:bookmarkEnd w:id="89"/>
      <w:bookmarkEnd w:id="90"/>
      <w:r w:rsidRPr="0045530E">
        <w:rPr>
          <w:rFonts w:ascii="inherit" w:eastAsia="Times New Roman" w:hAnsi="inherit" w:cs="Arial"/>
          <w:b/>
          <w:bCs/>
          <w:color w:val="222222"/>
          <w:sz w:val="36"/>
          <w:szCs w:val="36"/>
          <w:lang w:eastAsia="tr-TR"/>
        </w:rPr>
        <w:t>7.4 ACE-inhibitors and Angiotensin II Antagonists</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Reports suggest that NSAIDs may diminish the antihypertensive effect of Angiotensin Converting Enzyme (ACE) inhibitors and angiotensin II antagonists. This interaction should be given consideration in patients taking celecoxib concomitantly with ACE-inhibitors and angiotensin II antagonists </w:t>
      </w:r>
      <w:r w:rsidRPr="0045530E">
        <w:rPr>
          <w:rFonts w:ascii="inherit" w:eastAsia="Times New Roman" w:hAnsi="inherit" w:cs="Arial"/>
          <w:i/>
          <w:iCs/>
          <w:color w:val="222222"/>
          <w:sz w:val="21"/>
          <w:szCs w:val="21"/>
          <w:bdr w:val="none" w:sz="0" w:space="0" w:color="auto" w:frame="1"/>
          <w:lang w:eastAsia="tr-TR"/>
        </w:rPr>
        <w:t>[see Clinical Pharmacology (</w:t>
      </w:r>
      <w:proofErr w:type="gramStart"/>
      <w:r w:rsidRPr="0045530E">
        <w:rPr>
          <w:rFonts w:ascii="inherit" w:eastAsia="Times New Roman" w:hAnsi="inherit" w:cs="Arial"/>
          <w:i/>
          <w:iCs/>
          <w:color w:val="222222"/>
          <w:sz w:val="21"/>
          <w:szCs w:val="21"/>
          <w:bdr w:val="none" w:sz="0" w:space="0" w:color="auto" w:frame="1"/>
          <w:lang w:eastAsia="tr-TR"/>
        </w:rPr>
        <w:t>12.2</w:t>
      </w:r>
      <w:proofErr w:type="gramEnd"/>
      <w:r w:rsidRPr="0045530E">
        <w:rPr>
          <w:rFonts w:ascii="inherit" w:eastAsia="Times New Roman" w:hAnsi="inherit" w:cs="Arial"/>
          <w:i/>
          <w:iCs/>
          <w:color w:val="222222"/>
          <w:sz w:val="21"/>
          <w:szCs w:val="21"/>
          <w:bdr w:val="none" w:sz="0" w:space="0" w:color="auto" w:frame="1"/>
          <w:lang w:eastAsia="tr-TR"/>
        </w:rPr>
        <w:t>].</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91" w:name="L4fcf408a-801c-4d95-8185-84643c40af66"/>
      <w:bookmarkStart w:id="92" w:name="section-7.5"/>
      <w:bookmarkEnd w:id="91"/>
      <w:bookmarkEnd w:id="92"/>
      <w:r w:rsidRPr="0045530E">
        <w:rPr>
          <w:rFonts w:ascii="inherit" w:eastAsia="Times New Roman" w:hAnsi="inherit" w:cs="Arial"/>
          <w:b/>
          <w:bCs/>
          <w:color w:val="222222"/>
          <w:sz w:val="36"/>
          <w:szCs w:val="36"/>
          <w:lang w:eastAsia="tr-TR"/>
        </w:rPr>
        <w:t>7.5 Fluconazole</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Concomitant administration of fluconazole at 200 mg once daily resulted in a two-fold increase in celecoxib plasma concentration. This increase is due to the inhibition of celecoxib metabolism via P450 2C9 by fluconazole [see Clinical Pharmacology (</w:t>
      </w:r>
      <w:proofErr w:type="gramStart"/>
      <w:r w:rsidRPr="0045530E">
        <w:rPr>
          <w:rFonts w:ascii="inherit" w:eastAsia="Times New Roman" w:hAnsi="inherit" w:cs="Arial"/>
          <w:color w:val="222222"/>
          <w:sz w:val="21"/>
          <w:szCs w:val="21"/>
          <w:lang w:eastAsia="tr-TR"/>
        </w:rPr>
        <w:t>12.3</w:t>
      </w:r>
      <w:proofErr w:type="gramEnd"/>
      <w:r w:rsidRPr="0045530E">
        <w:rPr>
          <w:rFonts w:ascii="inherit" w:eastAsia="Times New Roman" w:hAnsi="inherit" w:cs="Arial"/>
          <w:color w:val="222222"/>
          <w:sz w:val="21"/>
          <w:szCs w:val="21"/>
          <w:lang w:eastAsia="tr-TR"/>
        </w:rPr>
        <w:t>)]. Celecoxib should be introduced at the lowest recommended dose in patients receiving fluconazole.</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93" w:name="Ld5115cd1-6c3b-4a6e-89a3-d9f3ac5807e1"/>
      <w:bookmarkStart w:id="94" w:name="section-7.6"/>
      <w:bookmarkEnd w:id="93"/>
      <w:bookmarkEnd w:id="94"/>
      <w:r w:rsidRPr="0045530E">
        <w:rPr>
          <w:rFonts w:ascii="inherit" w:eastAsia="Times New Roman" w:hAnsi="inherit" w:cs="Arial"/>
          <w:b/>
          <w:bCs/>
          <w:color w:val="222222"/>
          <w:sz w:val="36"/>
          <w:szCs w:val="36"/>
          <w:lang w:eastAsia="tr-TR"/>
        </w:rPr>
        <w:t>7.6 Furosemide</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Clinical studies, as well as post-</w:t>
      </w:r>
      <w:proofErr w:type="gramStart"/>
      <w:r w:rsidRPr="0045530E">
        <w:rPr>
          <w:rFonts w:ascii="inherit" w:eastAsia="Times New Roman" w:hAnsi="inherit" w:cs="Arial"/>
          <w:color w:val="222222"/>
          <w:sz w:val="21"/>
          <w:szCs w:val="21"/>
          <w:lang w:eastAsia="tr-TR"/>
        </w:rPr>
        <w:t>marketing</w:t>
      </w:r>
      <w:proofErr w:type="gramEnd"/>
      <w:r w:rsidRPr="0045530E">
        <w:rPr>
          <w:rFonts w:ascii="inherit" w:eastAsia="Times New Roman" w:hAnsi="inherit" w:cs="Arial"/>
          <w:color w:val="222222"/>
          <w:sz w:val="21"/>
          <w:szCs w:val="21"/>
          <w:lang w:eastAsia="tr-TR"/>
        </w:rPr>
        <w:t xml:space="preserve"> observations, have shown that NSAIDs can reduce the natriuretic effect of furosemide and thiazides in some patients. This response has been attributed to inhibition of renal prostaglandin synthesis.</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95" w:name="L54a920ea-07b7-41ad-b490-b01e142b0a6f"/>
      <w:bookmarkStart w:id="96" w:name="section-7.7"/>
      <w:bookmarkEnd w:id="95"/>
      <w:bookmarkEnd w:id="96"/>
      <w:r w:rsidRPr="0045530E">
        <w:rPr>
          <w:rFonts w:ascii="inherit" w:eastAsia="Times New Roman" w:hAnsi="inherit" w:cs="Arial"/>
          <w:b/>
          <w:bCs/>
          <w:color w:val="222222"/>
          <w:sz w:val="36"/>
          <w:szCs w:val="36"/>
          <w:lang w:eastAsia="tr-TR"/>
        </w:rPr>
        <w:t>7.7 Methotrexate</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In an interaction study of rheumatoid arthritis patients taking methotrexate, celecoxib did not have an effect on the pharmacokinetics of methotrexate </w:t>
      </w:r>
      <w:r w:rsidRPr="0045530E">
        <w:rPr>
          <w:rFonts w:ascii="inherit" w:eastAsia="Times New Roman" w:hAnsi="inherit" w:cs="Arial"/>
          <w:i/>
          <w:iCs/>
          <w:color w:val="222222"/>
          <w:sz w:val="21"/>
          <w:szCs w:val="21"/>
          <w:bdr w:val="none" w:sz="0" w:space="0" w:color="auto" w:frame="1"/>
          <w:lang w:eastAsia="tr-TR"/>
        </w:rPr>
        <w:t>[see Clinical Pharmacology (</w:t>
      </w:r>
      <w:proofErr w:type="gramStart"/>
      <w:r w:rsidRPr="0045530E">
        <w:rPr>
          <w:rFonts w:ascii="inherit" w:eastAsia="Times New Roman" w:hAnsi="inherit" w:cs="Arial"/>
          <w:i/>
          <w:iCs/>
          <w:color w:val="222222"/>
          <w:sz w:val="21"/>
          <w:szCs w:val="21"/>
          <w:bdr w:val="none" w:sz="0" w:space="0" w:color="auto" w:frame="1"/>
          <w:lang w:eastAsia="tr-TR"/>
        </w:rPr>
        <w:t>12.3</w:t>
      </w:r>
      <w:proofErr w:type="gramEnd"/>
      <w:r w:rsidRPr="0045530E">
        <w:rPr>
          <w:rFonts w:ascii="inherit" w:eastAsia="Times New Roman" w:hAnsi="inherit" w:cs="Arial"/>
          <w:i/>
          <w:iCs/>
          <w:color w:val="222222"/>
          <w:sz w:val="21"/>
          <w:szCs w:val="21"/>
          <w:bdr w:val="none" w:sz="0" w:space="0" w:color="auto" w:frame="1"/>
          <w:lang w:eastAsia="tr-TR"/>
        </w:rPr>
        <w:t>)].</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97" w:name="L289ce00f-7b55-47dd-bca8-b2aa8ff8a252"/>
      <w:bookmarkStart w:id="98" w:name="section-7.8"/>
      <w:bookmarkEnd w:id="97"/>
      <w:bookmarkEnd w:id="98"/>
      <w:r w:rsidRPr="0045530E">
        <w:rPr>
          <w:rFonts w:ascii="inherit" w:eastAsia="Times New Roman" w:hAnsi="inherit" w:cs="Arial"/>
          <w:b/>
          <w:bCs/>
          <w:color w:val="222222"/>
          <w:sz w:val="36"/>
          <w:szCs w:val="36"/>
          <w:lang w:eastAsia="tr-TR"/>
        </w:rPr>
        <w:t>7.8 Concomitant NSAID Use</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The concomitant use of celecoxib with any dose of a non-aspirin NSAID should be avoided due to the potential for increased risk of adverse reactions.</w:t>
      </w:r>
    </w:p>
    <w:p w:rsidR="0045530E" w:rsidRPr="0045530E" w:rsidRDefault="0045530E" w:rsidP="0045530E">
      <w:pPr>
        <w:shd w:val="clear" w:color="auto" w:fill="FFFFFF"/>
        <w:spacing w:after="75" w:line="240" w:lineRule="auto"/>
        <w:ind w:left="450"/>
        <w:textAlignment w:val="baseline"/>
        <w:rPr>
          <w:rFonts w:ascii="inherit" w:eastAsia="Times New Roman" w:hAnsi="inherit" w:cs="Arial"/>
          <w:color w:val="222222"/>
          <w:sz w:val="21"/>
          <w:szCs w:val="21"/>
          <w:lang w:eastAsia="tr-TR"/>
        </w:rPr>
      </w:pPr>
      <w:hyperlink r:id="rId150" w:history="1">
        <w:r w:rsidRPr="0045530E">
          <w:rPr>
            <w:rFonts w:ascii="Arial" w:eastAsia="Times New Roman" w:hAnsi="Arial" w:cs="Arial"/>
            <w:caps/>
            <w:color w:val="1D86BB"/>
            <w:sz w:val="18"/>
            <w:szCs w:val="18"/>
            <w:u w:val="single"/>
            <w:bdr w:val="none" w:sz="0" w:space="0" w:color="auto" w:frame="1"/>
            <w:lang w:eastAsia="tr-TR"/>
          </w:rPr>
          <w:t>CLOSE</w:t>
        </w:r>
      </w:hyperlink>
    </w:p>
    <w:p w:rsidR="0045530E" w:rsidRPr="0045530E" w:rsidRDefault="0045530E" w:rsidP="0045530E">
      <w:pPr>
        <w:numPr>
          <w:ilvl w:val="0"/>
          <w:numId w:val="9"/>
        </w:numPr>
        <w:shd w:val="clear" w:color="auto" w:fill="FFFFFF"/>
        <w:spacing w:after="0" w:line="240" w:lineRule="auto"/>
        <w:ind w:left="0"/>
        <w:textAlignment w:val="baseline"/>
        <w:rPr>
          <w:rFonts w:ascii="inherit" w:eastAsia="Times New Roman" w:hAnsi="inherit" w:cs="Arial"/>
          <w:color w:val="222222"/>
          <w:sz w:val="21"/>
          <w:szCs w:val="21"/>
          <w:lang w:eastAsia="tr-TR"/>
        </w:rPr>
      </w:pPr>
      <w:hyperlink r:id="rId151" w:history="1">
        <w:r w:rsidRPr="0045530E">
          <w:rPr>
            <w:rFonts w:ascii="Arial" w:eastAsia="Times New Roman" w:hAnsi="Arial" w:cs="Arial"/>
            <w:caps/>
            <w:color w:val="000000"/>
            <w:sz w:val="30"/>
            <w:szCs w:val="30"/>
            <w:u w:val="single"/>
            <w:bdr w:val="none" w:sz="0" w:space="0" w:color="auto" w:frame="1"/>
            <w:lang w:eastAsia="tr-TR"/>
          </w:rPr>
          <w:t>8. USE IN SPECIFIC POPULATIONS</w:t>
        </w:r>
      </w:hyperlink>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bookmarkStart w:id="99" w:name="L0d4fc23b-ad2e-44ce-a854-c4821a915c81"/>
      <w:bookmarkStart w:id="100" w:name="section-8"/>
      <w:bookmarkEnd w:id="99"/>
      <w:bookmarkEnd w:id="100"/>
      <w:r w:rsidRPr="0045530E">
        <w:rPr>
          <w:rFonts w:ascii="inherit" w:eastAsia="Times New Roman" w:hAnsi="inherit" w:cs="Arial"/>
          <w:color w:val="222222"/>
          <w:sz w:val="21"/>
          <w:szCs w:val="21"/>
          <w:lang w:eastAsia="tr-TR"/>
        </w:rPr>
        <w:t>Pregnancy Category C prior to 30 weeks gestation; Category D starting at 30 weeks gestation (</w:t>
      </w:r>
      <w:proofErr w:type="gramStart"/>
      <w:r w:rsidRPr="0045530E">
        <w:rPr>
          <w:rFonts w:ascii="inherit" w:eastAsia="Times New Roman" w:hAnsi="inherit" w:cs="Arial"/>
          <w:color w:val="222222"/>
          <w:sz w:val="21"/>
          <w:szCs w:val="21"/>
          <w:lang w:eastAsia="tr-TR"/>
        </w:rPr>
        <w:t>5.9</w:t>
      </w:r>
      <w:proofErr w:type="gramEnd"/>
      <w:r w:rsidRPr="0045530E">
        <w:rPr>
          <w:rFonts w:ascii="inherit" w:eastAsia="Times New Roman" w:hAnsi="inherit" w:cs="Arial"/>
          <w:color w:val="222222"/>
          <w:sz w:val="21"/>
          <w:szCs w:val="21"/>
          <w:lang w:eastAsia="tr-TR"/>
        </w:rPr>
        <w:t>, 8.1, 17.8)</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101" w:name="Lab7a5312-e730-4472-9e20-6fa06ce8466d"/>
      <w:bookmarkStart w:id="102" w:name="section-8.1"/>
      <w:bookmarkEnd w:id="101"/>
      <w:bookmarkEnd w:id="102"/>
      <w:r w:rsidRPr="0045530E">
        <w:rPr>
          <w:rFonts w:ascii="inherit" w:eastAsia="Times New Roman" w:hAnsi="inherit" w:cs="Arial"/>
          <w:b/>
          <w:bCs/>
          <w:color w:val="222222"/>
          <w:sz w:val="36"/>
          <w:szCs w:val="36"/>
          <w:lang w:eastAsia="tr-TR"/>
        </w:rPr>
        <w:t>8.1 Pregnancy</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Pregnancy Category C. Pregnancy category D from 30 weeks of gestation onward.</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proofErr w:type="gramStart"/>
      <w:r w:rsidRPr="0045530E">
        <w:rPr>
          <w:rFonts w:ascii="inherit" w:eastAsia="Times New Roman" w:hAnsi="inherit" w:cs="Arial"/>
          <w:b/>
          <w:bCs/>
          <w:i/>
          <w:iCs/>
          <w:color w:val="222222"/>
          <w:sz w:val="21"/>
          <w:szCs w:val="21"/>
          <w:bdr w:val="none" w:sz="0" w:space="0" w:color="auto" w:frame="1"/>
          <w:lang w:eastAsia="tr-TR"/>
        </w:rPr>
        <w:t>Teratogenic effects: </w:t>
      </w:r>
      <w:r w:rsidRPr="0045530E">
        <w:rPr>
          <w:rFonts w:ascii="inherit" w:eastAsia="Times New Roman" w:hAnsi="inherit" w:cs="Arial"/>
          <w:color w:val="222222"/>
          <w:sz w:val="21"/>
          <w:szCs w:val="21"/>
          <w:lang w:eastAsia="tr-TR"/>
        </w:rPr>
        <w:t>Celecoxib at oral doses </w:t>
      </w:r>
      <w:r w:rsidRPr="0045530E">
        <w:rPr>
          <w:rFonts w:ascii="inherit" w:eastAsia="Times New Roman" w:hAnsi="inherit" w:cs="Arial"/>
          <w:color w:val="222222"/>
          <w:sz w:val="21"/>
          <w:szCs w:val="21"/>
          <w:u w:val="single"/>
          <w:bdr w:val="none" w:sz="0" w:space="0" w:color="auto" w:frame="1"/>
          <w:lang w:eastAsia="tr-TR"/>
        </w:rPr>
        <w:t>&gt;</w:t>
      </w:r>
      <w:r w:rsidRPr="0045530E">
        <w:rPr>
          <w:rFonts w:ascii="inherit" w:eastAsia="Times New Roman" w:hAnsi="inherit" w:cs="Arial"/>
          <w:color w:val="222222"/>
          <w:sz w:val="21"/>
          <w:szCs w:val="21"/>
          <w:lang w:eastAsia="tr-TR"/>
        </w:rPr>
        <w:t>150 mg/kg/day (approximately 2-fold human exposure at 200 mg twice daily as measured by AUC</w:t>
      </w:r>
      <w:r w:rsidRPr="0045530E">
        <w:rPr>
          <w:rFonts w:ascii="inherit" w:eastAsia="Times New Roman" w:hAnsi="inherit" w:cs="Arial"/>
          <w:color w:val="222222"/>
          <w:sz w:val="17"/>
          <w:szCs w:val="17"/>
          <w:bdr w:val="none" w:sz="0" w:space="0" w:color="auto" w:frame="1"/>
          <w:lang w:eastAsia="tr-TR"/>
        </w:rPr>
        <w:t>0 to 24</w:t>
      </w:r>
      <w:r w:rsidRPr="0045530E">
        <w:rPr>
          <w:rFonts w:ascii="inherit" w:eastAsia="Times New Roman" w:hAnsi="inherit" w:cs="Arial"/>
          <w:color w:val="222222"/>
          <w:sz w:val="21"/>
          <w:szCs w:val="21"/>
          <w:lang w:eastAsia="tr-TR"/>
        </w:rPr>
        <w:t xml:space="preserve">), caused an increased incidence of ventricular septal defects, a rare event, and fetal alterations, such as ribs fused, sternebrae fused and sternebrae misshapen when rabbits were treated throughout organogenesis. </w:t>
      </w:r>
      <w:proofErr w:type="gramEnd"/>
      <w:r w:rsidRPr="0045530E">
        <w:rPr>
          <w:rFonts w:ascii="inherit" w:eastAsia="Times New Roman" w:hAnsi="inherit" w:cs="Arial"/>
          <w:color w:val="222222"/>
          <w:sz w:val="21"/>
          <w:szCs w:val="21"/>
          <w:lang w:eastAsia="tr-TR"/>
        </w:rPr>
        <w:t>A dose-dependent increase in diaphragmatic hernias was observed when rats were given celecoxib at oral doses </w:t>
      </w:r>
      <w:r w:rsidRPr="0045530E">
        <w:rPr>
          <w:rFonts w:ascii="inherit" w:eastAsia="Times New Roman" w:hAnsi="inherit" w:cs="Arial"/>
          <w:color w:val="222222"/>
          <w:sz w:val="21"/>
          <w:szCs w:val="21"/>
          <w:u w:val="single"/>
          <w:bdr w:val="none" w:sz="0" w:space="0" w:color="auto" w:frame="1"/>
          <w:lang w:eastAsia="tr-TR"/>
        </w:rPr>
        <w:t>&gt;</w:t>
      </w:r>
      <w:r w:rsidRPr="0045530E">
        <w:rPr>
          <w:rFonts w:ascii="inherit" w:eastAsia="Times New Roman" w:hAnsi="inherit" w:cs="Arial"/>
          <w:color w:val="222222"/>
          <w:sz w:val="21"/>
          <w:szCs w:val="21"/>
          <w:lang w:eastAsia="tr-TR"/>
        </w:rPr>
        <w:t>30 mg/kg/day (approximately 6-fold human exposure based on the AUC</w:t>
      </w:r>
      <w:r w:rsidRPr="0045530E">
        <w:rPr>
          <w:rFonts w:ascii="inherit" w:eastAsia="Times New Roman" w:hAnsi="inherit" w:cs="Arial"/>
          <w:color w:val="222222"/>
          <w:sz w:val="17"/>
          <w:szCs w:val="17"/>
          <w:bdr w:val="none" w:sz="0" w:space="0" w:color="auto" w:frame="1"/>
          <w:lang w:eastAsia="tr-TR"/>
        </w:rPr>
        <w:t>0 to 24</w:t>
      </w:r>
      <w:r w:rsidRPr="0045530E">
        <w:rPr>
          <w:rFonts w:ascii="inherit" w:eastAsia="Times New Roman" w:hAnsi="inherit" w:cs="Arial"/>
          <w:color w:val="222222"/>
          <w:sz w:val="21"/>
          <w:szCs w:val="21"/>
          <w:lang w:eastAsia="tr-TR"/>
        </w:rPr>
        <w:t> at 200 mg twice daily) throughout organogenesis. There are no studies in pregnant women. Celecoxib should be used during pregnancy only if the potential benefit justifies the potential risk to the fetus.</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i/>
          <w:iCs/>
          <w:color w:val="222222"/>
          <w:sz w:val="21"/>
          <w:szCs w:val="21"/>
          <w:bdr w:val="none" w:sz="0" w:space="0" w:color="auto" w:frame="1"/>
          <w:lang w:eastAsia="tr-TR"/>
        </w:rPr>
        <w:t>Nonteratogenic effects: </w:t>
      </w:r>
      <w:r w:rsidRPr="0045530E">
        <w:rPr>
          <w:rFonts w:ascii="inherit" w:eastAsia="Times New Roman" w:hAnsi="inherit" w:cs="Arial"/>
          <w:color w:val="222222"/>
          <w:sz w:val="21"/>
          <w:szCs w:val="21"/>
          <w:lang w:eastAsia="tr-TR"/>
        </w:rPr>
        <w:t>Celecoxib produced pre-implantation and post-implantation losses and reduced embryo/fetal survival in rats at oral dosages </w:t>
      </w:r>
      <w:r w:rsidRPr="0045530E">
        <w:rPr>
          <w:rFonts w:ascii="inherit" w:eastAsia="Times New Roman" w:hAnsi="inherit" w:cs="Arial"/>
          <w:color w:val="222222"/>
          <w:sz w:val="21"/>
          <w:szCs w:val="21"/>
          <w:u w:val="single"/>
          <w:bdr w:val="none" w:sz="0" w:space="0" w:color="auto" w:frame="1"/>
          <w:lang w:eastAsia="tr-TR"/>
        </w:rPr>
        <w:t>&gt;</w:t>
      </w:r>
      <w:r w:rsidRPr="0045530E">
        <w:rPr>
          <w:rFonts w:ascii="inherit" w:eastAsia="Times New Roman" w:hAnsi="inherit" w:cs="Arial"/>
          <w:color w:val="222222"/>
          <w:sz w:val="21"/>
          <w:szCs w:val="21"/>
          <w:lang w:eastAsia="tr-TR"/>
        </w:rPr>
        <w:t>50 mg/kg/day (approximately 6-fold human exposure based on the AUC</w:t>
      </w:r>
      <w:r w:rsidRPr="0045530E">
        <w:rPr>
          <w:rFonts w:ascii="inherit" w:eastAsia="Times New Roman" w:hAnsi="inherit" w:cs="Arial"/>
          <w:color w:val="222222"/>
          <w:sz w:val="17"/>
          <w:szCs w:val="17"/>
          <w:bdr w:val="none" w:sz="0" w:space="0" w:color="auto" w:frame="1"/>
          <w:lang w:eastAsia="tr-TR"/>
        </w:rPr>
        <w:t>0 to 24</w:t>
      </w:r>
      <w:r w:rsidRPr="0045530E">
        <w:rPr>
          <w:rFonts w:ascii="inherit" w:eastAsia="Times New Roman" w:hAnsi="inherit" w:cs="Arial"/>
          <w:color w:val="222222"/>
          <w:sz w:val="21"/>
          <w:szCs w:val="21"/>
          <w:lang w:eastAsia="tr-TR"/>
        </w:rPr>
        <w:t> at 200 mg twice daily). These changes are expected with inhibition of prostaglandin synthesis and are not the result of permanent alteration of female reproductive function, nor are they expected at clinical exposures. No studies have been conducted to evaluate the effect of celecoxib on the closure of the ductus arteriosus in humans. Therefore, use of celecoxib during the third trimester of pregnancy should be avoided.</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103" w:name="L94c0de14-0f6d-4b63-b7b4-5a2c3e1d72e6"/>
      <w:bookmarkStart w:id="104" w:name="section-8.2"/>
      <w:bookmarkEnd w:id="103"/>
      <w:bookmarkEnd w:id="104"/>
      <w:r w:rsidRPr="0045530E">
        <w:rPr>
          <w:rFonts w:ascii="inherit" w:eastAsia="Times New Roman" w:hAnsi="inherit" w:cs="Arial"/>
          <w:b/>
          <w:bCs/>
          <w:color w:val="222222"/>
          <w:sz w:val="36"/>
          <w:szCs w:val="36"/>
          <w:lang w:eastAsia="tr-TR"/>
        </w:rPr>
        <w:t>8.2 Labor and Delivery</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Celecoxib produced no evidence of delayed labor or parturition at oral doses up to 100 mg/kg in rats (approximately 7-fold human exposure as measured by the AUC</w:t>
      </w:r>
      <w:r w:rsidRPr="0045530E">
        <w:rPr>
          <w:rFonts w:ascii="inherit" w:eastAsia="Times New Roman" w:hAnsi="inherit" w:cs="Arial"/>
          <w:color w:val="222222"/>
          <w:sz w:val="17"/>
          <w:szCs w:val="17"/>
          <w:bdr w:val="none" w:sz="0" w:space="0" w:color="auto" w:frame="1"/>
          <w:lang w:eastAsia="tr-TR"/>
        </w:rPr>
        <w:t>0to 24</w:t>
      </w:r>
      <w:r w:rsidRPr="0045530E">
        <w:rPr>
          <w:rFonts w:ascii="inherit" w:eastAsia="Times New Roman" w:hAnsi="inherit" w:cs="Arial"/>
          <w:color w:val="222222"/>
          <w:sz w:val="21"/>
          <w:szCs w:val="21"/>
          <w:lang w:eastAsia="tr-TR"/>
        </w:rPr>
        <w:t> at 200 mg BID).The effects of celecoxib on labor and delivery in pregnant women are unknown.</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105" w:name="L3a136705-9fb5-4ec0-a253-cb2f3a652a08"/>
      <w:bookmarkStart w:id="106" w:name="section-8.3"/>
      <w:bookmarkEnd w:id="105"/>
      <w:bookmarkEnd w:id="106"/>
      <w:r w:rsidRPr="0045530E">
        <w:rPr>
          <w:rFonts w:ascii="inherit" w:eastAsia="Times New Roman" w:hAnsi="inherit" w:cs="Arial"/>
          <w:b/>
          <w:bCs/>
          <w:color w:val="222222"/>
          <w:sz w:val="36"/>
          <w:szCs w:val="36"/>
          <w:lang w:eastAsia="tr-TR"/>
        </w:rPr>
        <w:t>8.3 Nursing Mothers</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 xml:space="preserve">Limited </w:t>
      </w:r>
      <w:proofErr w:type="gramStart"/>
      <w:r w:rsidRPr="0045530E">
        <w:rPr>
          <w:rFonts w:ascii="inherit" w:eastAsia="Times New Roman" w:hAnsi="inherit" w:cs="Arial"/>
          <w:color w:val="222222"/>
          <w:sz w:val="21"/>
          <w:szCs w:val="21"/>
          <w:lang w:eastAsia="tr-TR"/>
        </w:rPr>
        <w:t>data</w:t>
      </w:r>
      <w:proofErr w:type="gramEnd"/>
      <w:r w:rsidRPr="0045530E">
        <w:rPr>
          <w:rFonts w:ascii="inherit" w:eastAsia="Times New Roman" w:hAnsi="inherit" w:cs="Arial"/>
          <w:color w:val="222222"/>
          <w:sz w:val="21"/>
          <w:szCs w:val="21"/>
          <w:lang w:eastAsia="tr-TR"/>
        </w:rPr>
        <w:t xml:space="preserve"> from 3 published reports that included a total of 12 breastfeeding women showed low levels of celecoxib in breast milk. The calculated average daily infant dose was 10 to 40 mcg/kg/day, less than 1% of the weight-based therapeutic dose for a two-year old-child. A report of two breastfed infants 17 and 22 months of age did not show any adverse events. Caution should be exercised when celecoxib is administered to a nursing woman.</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107" w:name="Lc3b47947-0319-48b4-9185-34d2fc8293a2"/>
      <w:bookmarkStart w:id="108" w:name="section-8.4"/>
      <w:bookmarkEnd w:id="107"/>
      <w:bookmarkEnd w:id="108"/>
      <w:r w:rsidRPr="0045530E">
        <w:rPr>
          <w:rFonts w:ascii="inherit" w:eastAsia="Times New Roman" w:hAnsi="inherit" w:cs="Arial"/>
          <w:b/>
          <w:bCs/>
          <w:color w:val="222222"/>
          <w:sz w:val="36"/>
          <w:szCs w:val="36"/>
          <w:lang w:eastAsia="tr-TR"/>
        </w:rPr>
        <w:t>8.4 Pediatric Use</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Celecoxib is approved for relief of the signs and symptoms of Juvenile Rheumatoid Arthritis in patients 2 years and older. Safety and efficacy have not been studied beyond six months in children. The long-term cardiovascular toxicity in children exposed to celecoxib has not been evaluated and it is unknown if long-term risks may be similar to that seen in adults exposed to celecoxib or other COX-2 selective and non-selective NSAIDs [see Boxed Warning, Warnings and Precautions (5.12), and </w:t>
      </w:r>
      <w:r w:rsidRPr="0045530E">
        <w:rPr>
          <w:rFonts w:ascii="inherit" w:eastAsia="Times New Roman" w:hAnsi="inherit" w:cs="Arial"/>
          <w:i/>
          <w:iCs/>
          <w:color w:val="222222"/>
          <w:sz w:val="21"/>
          <w:szCs w:val="21"/>
          <w:bdr w:val="none" w:sz="0" w:space="0" w:color="auto" w:frame="1"/>
          <w:lang w:eastAsia="tr-TR"/>
        </w:rPr>
        <w:t>Clinical Studies (</w:t>
      </w:r>
      <w:proofErr w:type="gramStart"/>
      <w:r w:rsidRPr="0045530E">
        <w:rPr>
          <w:rFonts w:ascii="inherit" w:eastAsia="Times New Roman" w:hAnsi="inherit" w:cs="Arial"/>
          <w:i/>
          <w:iCs/>
          <w:color w:val="222222"/>
          <w:sz w:val="21"/>
          <w:szCs w:val="21"/>
          <w:bdr w:val="none" w:sz="0" w:space="0" w:color="auto" w:frame="1"/>
          <w:lang w:eastAsia="tr-TR"/>
        </w:rPr>
        <w:t>14.3</w:t>
      </w:r>
      <w:proofErr w:type="gramEnd"/>
      <w:r w:rsidRPr="0045530E">
        <w:rPr>
          <w:rFonts w:ascii="inherit" w:eastAsia="Times New Roman" w:hAnsi="inherit" w:cs="Arial"/>
          <w:i/>
          <w:iCs/>
          <w:color w:val="222222"/>
          <w:sz w:val="21"/>
          <w:szCs w:val="21"/>
          <w:bdr w:val="none" w:sz="0" w:space="0" w:color="auto" w:frame="1"/>
          <w:lang w:eastAsia="tr-TR"/>
        </w:rPr>
        <w:t>)].</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The use of celecoxib in patients 2 years to 17 years of age with pauciarticular, polyarticular course JRA or in patients with systemic onset JRA was studied in a 12-week, double-blind, active controlled, pharmacokinetic, safety and efficacy study, with a 12-week open-label extension. Celecoxib has not been studied in patients under the age of 2 years, in patients with body weight less than 10 kg (22 lbs), and in patients with active systemic features. Patients with systemic onset JRA (without active systemic features) appear to be at risk for the development of abnormal coagulation laboratory tests. In some patients with systemic onset JRA, both celecoxib and naproxen were associated with mild prolongation of activated partial thromboplastin time (APTT) but not prothrombin time (PT). NSAIDs including celecoxib should be used only with caution in patients with systemic onset JRA, due to the risk of disseminated intravascular coagulation. Patients with systemic onset JRA should be monitored for the development of abnormal coagulation tests [see Dosage and Administration (</w:t>
      </w:r>
      <w:proofErr w:type="gramStart"/>
      <w:r w:rsidRPr="0045530E">
        <w:rPr>
          <w:rFonts w:ascii="inherit" w:eastAsia="Times New Roman" w:hAnsi="inherit" w:cs="Arial"/>
          <w:color w:val="222222"/>
          <w:sz w:val="21"/>
          <w:szCs w:val="21"/>
          <w:lang w:eastAsia="tr-TR"/>
        </w:rPr>
        <w:t>2.3</w:t>
      </w:r>
      <w:proofErr w:type="gramEnd"/>
      <w:r w:rsidRPr="0045530E">
        <w:rPr>
          <w:rFonts w:ascii="inherit" w:eastAsia="Times New Roman" w:hAnsi="inherit" w:cs="Arial"/>
          <w:color w:val="222222"/>
          <w:sz w:val="21"/>
          <w:szCs w:val="21"/>
          <w:lang w:eastAsia="tr-TR"/>
        </w:rPr>
        <w:t>), Warnings and Precautions (5.12), Adverse Reactions (6.3), Animal Toxicology (13.2)</w:t>
      </w:r>
      <w:r w:rsidRPr="0045530E">
        <w:rPr>
          <w:rFonts w:ascii="inherit" w:eastAsia="Times New Roman" w:hAnsi="inherit" w:cs="Arial"/>
          <w:i/>
          <w:iCs/>
          <w:color w:val="222222"/>
          <w:sz w:val="21"/>
          <w:szCs w:val="21"/>
          <w:bdr w:val="none" w:sz="0" w:space="0" w:color="auto" w:frame="1"/>
          <w:lang w:eastAsia="tr-TR"/>
        </w:rPr>
        <w:t>, Clinical Studies (14.3)].</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Alternative therapies for treatment of JRA should be considered in pediatric patients identified to be CYP2C9 poor metabolizers [see Poor Metabolizers of CYP2C9 substrates (</w:t>
      </w:r>
      <w:proofErr w:type="gramStart"/>
      <w:r w:rsidRPr="0045530E">
        <w:rPr>
          <w:rFonts w:ascii="inherit" w:eastAsia="Times New Roman" w:hAnsi="inherit" w:cs="Arial"/>
          <w:color w:val="222222"/>
          <w:sz w:val="21"/>
          <w:szCs w:val="21"/>
          <w:lang w:eastAsia="tr-TR"/>
        </w:rPr>
        <w:t>8.8</w:t>
      </w:r>
      <w:proofErr w:type="gramEnd"/>
      <w:r w:rsidRPr="0045530E">
        <w:rPr>
          <w:rFonts w:ascii="inherit" w:eastAsia="Times New Roman" w:hAnsi="inherit" w:cs="Arial"/>
          <w:color w:val="222222"/>
          <w:sz w:val="21"/>
          <w:szCs w:val="21"/>
          <w:lang w:eastAsia="tr-TR"/>
        </w:rPr>
        <w:t>)].</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109" w:name="Lb2449e6d-5227-48a6-91a1-29374d05b704"/>
      <w:bookmarkStart w:id="110" w:name="section-8.5"/>
      <w:bookmarkEnd w:id="109"/>
      <w:bookmarkEnd w:id="110"/>
      <w:r w:rsidRPr="0045530E">
        <w:rPr>
          <w:rFonts w:ascii="inherit" w:eastAsia="Times New Roman" w:hAnsi="inherit" w:cs="Arial"/>
          <w:b/>
          <w:bCs/>
          <w:color w:val="222222"/>
          <w:sz w:val="36"/>
          <w:szCs w:val="36"/>
          <w:lang w:eastAsia="tr-TR"/>
        </w:rPr>
        <w:t>8.5 Geriatric Use</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Of the total number of patients who received celecoxib in pre-approval clinical trials, more than 3,300 were 65 to 74 years of age, while approximately 1,300 additional patients were 75 years and over. No substantial differences in effectiveness were observed between these subjects and younger subjects. In clinical studies comparing renal function as measured by the GFR, BUN and creatinine, and platelet function as measured by bleeding time and platelet aggregation, the results were not different between elderly and young volunteers. However, as with other NSAIDs, including those that selectively inhibit COX-2, there have been more spontaneous post-</w:t>
      </w:r>
      <w:proofErr w:type="gramStart"/>
      <w:r w:rsidRPr="0045530E">
        <w:rPr>
          <w:rFonts w:ascii="inherit" w:eastAsia="Times New Roman" w:hAnsi="inherit" w:cs="Arial"/>
          <w:color w:val="222222"/>
          <w:sz w:val="21"/>
          <w:szCs w:val="21"/>
          <w:lang w:eastAsia="tr-TR"/>
        </w:rPr>
        <w:t>marketing</w:t>
      </w:r>
      <w:proofErr w:type="gramEnd"/>
      <w:r w:rsidRPr="0045530E">
        <w:rPr>
          <w:rFonts w:ascii="inherit" w:eastAsia="Times New Roman" w:hAnsi="inherit" w:cs="Arial"/>
          <w:color w:val="222222"/>
          <w:sz w:val="21"/>
          <w:szCs w:val="21"/>
          <w:lang w:eastAsia="tr-TR"/>
        </w:rPr>
        <w:t xml:space="preserve"> reports of fatal GI events and acute renal failure in the elderly than in younger patients </w:t>
      </w:r>
      <w:r w:rsidRPr="0045530E">
        <w:rPr>
          <w:rFonts w:ascii="inherit" w:eastAsia="Times New Roman" w:hAnsi="inherit" w:cs="Arial"/>
          <w:i/>
          <w:iCs/>
          <w:color w:val="222222"/>
          <w:sz w:val="21"/>
          <w:szCs w:val="21"/>
          <w:bdr w:val="none" w:sz="0" w:space="0" w:color="auto" w:frame="1"/>
          <w:lang w:eastAsia="tr-TR"/>
        </w:rPr>
        <w:t>[see Warnings and Precautions (5.4, 5.6)].</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111" w:name="Ladcc0bbd-5ed4-46f1-bc58-ca66cd22783e"/>
      <w:bookmarkStart w:id="112" w:name="section-8.6"/>
      <w:bookmarkEnd w:id="111"/>
      <w:bookmarkEnd w:id="112"/>
      <w:r w:rsidRPr="0045530E">
        <w:rPr>
          <w:rFonts w:ascii="inherit" w:eastAsia="Times New Roman" w:hAnsi="inherit" w:cs="Arial"/>
          <w:b/>
          <w:bCs/>
          <w:color w:val="222222"/>
          <w:sz w:val="36"/>
          <w:szCs w:val="36"/>
          <w:lang w:eastAsia="tr-TR"/>
        </w:rPr>
        <w:t>8.6 Hepatic Insufficiency</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The daily recommended dose of celecoxib capsules in patients with moderate hepatic impairment (Child-Pugh Class B) should be reduced by 50%. The use of celecoxib in patients with severe hepatic impairment is not recommended </w:t>
      </w:r>
      <w:r w:rsidRPr="0045530E">
        <w:rPr>
          <w:rFonts w:ascii="inherit" w:eastAsia="Times New Roman" w:hAnsi="inherit" w:cs="Arial"/>
          <w:i/>
          <w:iCs/>
          <w:color w:val="222222"/>
          <w:sz w:val="21"/>
          <w:szCs w:val="21"/>
          <w:bdr w:val="none" w:sz="0" w:space="0" w:color="auto" w:frame="1"/>
          <w:lang w:eastAsia="tr-TR"/>
        </w:rPr>
        <w:t>[see Dosage and Administration (</w:t>
      </w:r>
      <w:proofErr w:type="gramStart"/>
      <w:r w:rsidRPr="0045530E">
        <w:rPr>
          <w:rFonts w:ascii="inherit" w:eastAsia="Times New Roman" w:hAnsi="inherit" w:cs="Arial"/>
          <w:i/>
          <w:iCs/>
          <w:color w:val="222222"/>
          <w:sz w:val="21"/>
          <w:szCs w:val="21"/>
          <w:bdr w:val="none" w:sz="0" w:space="0" w:color="auto" w:frame="1"/>
          <w:lang w:eastAsia="tr-TR"/>
        </w:rPr>
        <w:t>2.6</w:t>
      </w:r>
      <w:proofErr w:type="gramEnd"/>
      <w:r w:rsidRPr="0045530E">
        <w:rPr>
          <w:rFonts w:ascii="inherit" w:eastAsia="Times New Roman" w:hAnsi="inherit" w:cs="Arial"/>
          <w:i/>
          <w:iCs/>
          <w:color w:val="222222"/>
          <w:sz w:val="21"/>
          <w:szCs w:val="21"/>
          <w:bdr w:val="none" w:sz="0" w:space="0" w:color="auto" w:frame="1"/>
          <w:lang w:eastAsia="tr-TR"/>
        </w:rPr>
        <w:t>) and Clinical Pharmacology (12.3)].</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113" w:name="L9d9c0db0-6562-43eb-89d1-1866600d9dc3"/>
      <w:bookmarkStart w:id="114" w:name="section-8.7"/>
      <w:bookmarkEnd w:id="113"/>
      <w:bookmarkEnd w:id="114"/>
      <w:r w:rsidRPr="0045530E">
        <w:rPr>
          <w:rFonts w:ascii="inherit" w:eastAsia="Times New Roman" w:hAnsi="inherit" w:cs="Arial"/>
          <w:b/>
          <w:bCs/>
          <w:color w:val="222222"/>
          <w:sz w:val="36"/>
          <w:szCs w:val="36"/>
          <w:lang w:eastAsia="tr-TR"/>
        </w:rPr>
        <w:t>8.7 Renal Insufficiency</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Celecoxib is not recommended in patients with severe renal insufficiency </w:t>
      </w:r>
      <w:r w:rsidRPr="0045530E">
        <w:rPr>
          <w:rFonts w:ascii="inherit" w:eastAsia="Times New Roman" w:hAnsi="inherit" w:cs="Arial"/>
          <w:i/>
          <w:iCs/>
          <w:color w:val="222222"/>
          <w:sz w:val="21"/>
          <w:szCs w:val="21"/>
          <w:bdr w:val="none" w:sz="0" w:space="0" w:color="auto" w:frame="1"/>
          <w:lang w:eastAsia="tr-TR"/>
        </w:rPr>
        <w:t>[see Warnings and Precautions (</w:t>
      </w:r>
      <w:proofErr w:type="gramStart"/>
      <w:r w:rsidRPr="0045530E">
        <w:rPr>
          <w:rFonts w:ascii="inherit" w:eastAsia="Times New Roman" w:hAnsi="inherit" w:cs="Arial"/>
          <w:i/>
          <w:iCs/>
          <w:color w:val="222222"/>
          <w:sz w:val="21"/>
          <w:szCs w:val="21"/>
          <w:bdr w:val="none" w:sz="0" w:space="0" w:color="auto" w:frame="1"/>
          <w:lang w:eastAsia="tr-TR"/>
        </w:rPr>
        <w:t>5.6</w:t>
      </w:r>
      <w:proofErr w:type="gramEnd"/>
      <w:r w:rsidRPr="0045530E">
        <w:rPr>
          <w:rFonts w:ascii="inherit" w:eastAsia="Times New Roman" w:hAnsi="inherit" w:cs="Arial"/>
          <w:i/>
          <w:iCs/>
          <w:color w:val="222222"/>
          <w:sz w:val="21"/>
          <w:szCs w:val="21"/>
          <w:bdr w:val="none" w:sz="0" w:space="0" w:color="auto" w:frame="1"/>
          <w:lang w:eastAsia="tr-TR"/>
        </w:rPr>
        <w:t>) and Clinical Pharmacology (12.3)].</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115" w:name="L8082884b-1684-4416-a1a4-fb5b4f98c2d5"/>
      <w:bookmarkStart w:id="116" w:name="section-8.8"/>
      <w:bookmarkEnd w:id="115"/>
      <w:bookmarkEnd w:id="116"/>
      <w:r w:rsidRPr="0045530E">
        <w:rPr>
          <w:rFonts w:ascii="inherit" w:eastAsia="Times New Roman" w:hAnsi="inherit" w:cs="Arial"/>
          <w:b/>
          <w:bCs/>
          <w:color w:val="222222"/>
          <w:sz w:val="36"/>
          <w:szCs w:val="36"/>
          <w:lang w:eastAsia="tr-TR"/>
        </w:rPr>
        <w:t>8.8 Poor Metabolizers of CYP2C9 Substrates</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Patients who are known or suspected to be poor CYP2C9 metabolizers based on genotype or previous history/experience with other CYP2C9 substrates (such as warfarin, phenytoin) should be administered celecoxib with caution. Consider starting treatment at half the lowest recommended dose in poor metabolizers (i.e</w:t>
      </w:r>
      <w:proofErr w:type="gramStart"/>
      <w:r w:rsidRPr="0045530E">
        <w:rPr>
          <w:rFonts w:ascii="inherit" w:eastAsia="Times New Roman" w:hAnsi="inherit" w:cs="Arial"/>
          <w:color w:val="222222"/>
          <w:sz w:val="21"/>
          <w:szCs w:val="21"/>
          <w:lang w:eastAsia="tr-TR"/>
        </w:rPr>
        <w:t>.,</w:t>
      </w:r>
      <w:proofErr w:type="gramEnd"/>
      <w:r w:rsidRPr="0045530E">
        <w:rPr>
          <w:rFonts w:ascii="inherit" w:eastAsia="Times New Roman" w:hAnsi="inherit" w:cs="Arial"/>
          <w:color w:val="222222"/>
          <w:sz w:val="21"/>
          <w:szCs w:val="21"/>
          <w:lang w:eastAsia="tr-TR"/>
        </w:rPr>
        <w:t xml:space="preserve"> CYP2C9*3/*3). Alternative management should be considered in JRA patients identified to be CYP2C9 poor metabolizers </w:t>
      </w:r>
      <w:r w:rsidRPr="0045530E">
        <w:rPr>
          <w:rFonts w:ascii="inherit" w:eastAsia="Times New Roman" w:hAnsi="inherit" w:cs="Arial"/>
          <w:i/>
          <w:iCs/>
          <w:color w:val="222222"/>
          <w:sz w:val="21"/>
          <w:szCs w:val="21"/>
          <w:bdr w:val="none" w:sz="0" w:space="0" w:color="auto" w:frame="1"/>
          <w:lang w:eastAsia="tr-TR"/>
        </w:rPr>
        <w:t>[see Dosage and Administration (</w:t>
      </w:r>
      <w:proofErr w:type="gramStart"/>
      <w:r w:rsidRPr="0045530E">
        <w:rPr>
          <w:rFonts w:ascii="inherit" w:eastAsia="Times New Roman" w:hAnsi="inherit" w:cs="Arial"/>
          <w:i/>
          <w:iCs/>
          <w:color w:val="222222"/>
          <w:sz w:val="21"/>
          <w:szCs w:val="21"/>
          <w:bdr w:val="none" w:sz="0" w:space="0" w:color="auto" w:frame="1"/>
          <w:lang w:eastAsia="tr-TR"/>
        </w:rPr>
        <w:t>2.6</w:t>
      </w:r>
      <w:proofErr w:type="gramEnd"/>
      <w:r w:rsidRPr="0045530E">
        <w:rPr>
          <w:rFonts w:ascii="inherit" w:eastAsia="Times New Roman" w:hAnsi="inherit" w:cs="Arial"/>
          <w:i/>
          <w:iCs/>
          <w:color w:val="222222"/>
          <w:sz w:val="21"/>
          <w:szCs w:val="21"/>
          <w:bdr w:val="none" w:sz="0" w:space="0" w:color="auto" w:frame="1"/>
          <w:lang w:eastAsia="tr-TR"/>
        </w:rPr>
        <w:t>) and Clinical Pharmacology (12.5)].</w:t>
      </w:r>
    </w:p>
    <w:p w:rsidR="0045530E" w:rsidRPr="0045530E" w:rsidRDefault="0045530E" w:rsidP="0045530E">
      <w:pPr>
        <w:shd w:val="clear" w:color="auto" w:fill="FFFFFF"/>
        <w:spacing w:after="75" w:line="240" w:lineRule="auto"/>
        <w:ind w:left="450"/>
        <w:textAlignment w:val="baseline"/>
        <w:rPr>
          <w:rFonts w:ascii="inherit" w:eastAsia="Times New Roman" w:hAnsi="inherit" w:cs="Arial"/>
          <w:color w:val="222222"/>
          <w:sz w:val="21"/>
          <w:szCs w:val="21"/>
          <w:lang w:eastAsia="tr-TR"/>
        </w:rPr>
      </w:pPr>
      <w:hyperlink r:id="rId152" w:history="1">
        <w:r w:rsidRPr="0045530E">
          <w:rPr>
            <w:rFonts w:ascii="Arial" w:eastAsia="Times New Roman" w:hAnsi="Arial" w:cs="Arial"/>
            <w:caps/>
            <w:color w:val="1D86BB"/>
            <w:sz w:val="18"/>
            <w:szCs w:val="18"/>
            <w:u w:val="single"/>
            <w:bdr w:val="none" w:sz="0" w:space="0" w:color="auto" w:frame="1"/>
            <w:lang w:eastAsia="tr-TR"/>
          </w:rPr>
          <w:t>CLOSE</w:t>
        </w:r>
      </w:hyperlink>
    </w:p>
    <w:p w:rsidR="0045530E" w:rsidRPr="0045530E" w:rsidRDefault="0045530E" w:rsidP="0045530E">
      <w:pPr>
        <w:numPr>
          <w:ilvl w:val="0"/>
          <w:numId w:val="9"/>
        </w:numPr>
        <w:shd w:val="clear" w:color="auto" w:fill="FFFFFF"/>
        <w:spacing w:after="0" w:line="240" w:lineRule="auto"/>
        <w:ind w:left="0"/>
        <w:textAlignment w:val="baseline"/>
        <w:rPr>
          <w:rFonts w:ascii="inherit" w:eastAsia="Times New Roman" w:hAnsi="inherit" w:cs="Arial"/>
          <w:color w:val="222222"/>
          <w:sz w:val="21"/>
          <w:szCs w:val="21"/>
          <w:lang w:eastAsia="tr-TR"/>
        </w:rPr>
      </w:pPr>
      <w:hyperlink r:id="rId153" w:history="1">
        <w:r w:rsidRPr="0045530E">
          <w:rPr>
            <w:rFonts w:ascii="Arial" w:eastAsia="Times New Roman" w:hAnsi="Arial" w:cs="Arial"/>
            <w:caps/>
            <w:color w:val="000000"/>
            <w:sz w:val="30"/>
            <w:szCs w:val="30"/>
            <w:u w:val="single"/>
            <w:bdr w:val="none" w:sz="0" w:space="0" w:color="auto" w:frame="1"/>
            <w:lang w:eastAsia="tr-TR"/>
          </w:rPr>
          <w:t>10 OVERDOSAGE</w:t>
        </w:r>
      </w:hyperlink>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bookmarkStart w:id="117" w:name="L8f7ce01d-f79e-4621-a545-794d57cba098"/>
      <w:bookmarkStart w:id="118" w:name="section-9"/>
      <w:bookmarkEnd w:id="117"/>
      <w:bookmarkEnd w:id="118"/>
      <w:r w:rsidRPr="0045530E">
        <w:rPr>
          <w:rFonts w:ascii="inherit" w:eastAsia="Times New Roman" w:hAnsi="inherit" w:cs="Arial"/>
          <w:color w:val="222222"/>
          <w:sz w:val="21"/>
          <w:szCs w:val="21"/>
          <w:lang w:eastAsia="tr-TR"/>
        </w:rPr>
        <w:t>No overdoses of celecoxib were reported during clinical trials. Doses up to 2400 mg/day for up to 10 days in 12 patients did not result in serious toxicity. Symptoms following acute NSAID overdoses are usually limited to lethargy, drowsiness, nausea, vomiting, and epigastric pain, which are generally reversible with supportive care. Gastrointestinal bleeding can occur. Hypertension, acute renal failure, respiratory depression and coma may occur, but are rare. Anaphylactoid reactions have been reported with therapeutic ingestion of NSAIDs, and may occur following an overdose.</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Patients should be managed by symptomatic and supportive care following an NSAID overdose. There are no specific antidotes. No information is available regarding the removal of celecoxib by hemodialysis, but based on its high degree of plasma protein binding (&gt;97%) dialysis is unlikely to be useful in overdose. Emesis and/or activated charcoal (60 to 100 g in adults, 1 to 2 g/kg in children) and/or osmotic cathartic may be indicated in patients seen within 4 hours of ingestion with symptoms or following a large overdose. Forced diuresis, alkalinization of urine, hemodialysis, or hemoperfusion may not be useful due to high protein binding.</w:t>
      </w:r>
    </w:p>
    <w:p w:rsidR="0045530E" w:rsidRPr="0045530E" w:rsidRDefault="0045530E" w:rsidP="0045530E">
      <w:pPr>
        <w:shd w:val="clear" w:color="auto" w:fill="FFFFFF"/>
        <w:spacing w:after="75" w:line="240" w:lineRule="auto"/>
        <w:ind w:left="450"/>
        <w:textAlignment w:val="baseline"/>
        <w:rPr>
          <w:rFonts w:ascii="inherit" w:eastAsia="Times New Roman" w:hAnsi="inherit" w:cs="Arial"/>
          <w:color w:val="222222"/>
          <w:sz w:val="21"/>
          <w:szCs w:val="21"/>
          <w:lang w:eastAsia="tr-TR"/>
        </w:rPr>
      </w:pPr>
      <w:hyperlink r:id="rId154" w:history="1">
        <w:r w:rsidRPr="0045530E">
          <w:rPr>
            <w:rFonts w:ascii="Arial" w:eastAsia="Times New Roman" w:hAnsi="Arial" w:cs="Arial"/>
            <w:caps/>
            <w:color w:val="1D86BB"/>
            <w:sz w:val="18"/>
            <w:szCs w:val="18"/>
            <w:u w:val="single"/>
            <w:bdr w:val="none" w:sz="0" w:space="0" w:color="auto" w:frame="1"/>
            <w:lang w:eastAsia="tr-TR"/>
          </w:rPr>
          <w:t>CLOSE</w:t>
        </w:r>
      </w:hyperlink>
    </w:p>
    <w:p w:rsidR="0045530E" w:rsidRPr="0045530E" w:rsidRDefault="0045530E" w:rsidP="0045530E">
      <w:pPr>
        <w:numPr>
          <w:ilvl w:val="0"/>
          <w:numId w:val="9"/>
        </w:numPr>
        <w:shd w:val="clear" w:color="auto" w:fill="FFFFFF"/>
        <w:spacing w:after="0" w:line="240" w:lineRule="auto"/>
        <w:ind w:left="0"/>
        <w:textAlignment w:val="baseline"/>
        <w:rPr>
          <w:rFonts w:ascii="inherit" w:eastAsia="Times New Roman" w:hAnsi="inherit" w:cs="Arial"/>
          <w:color w:val="222222"/>
          <w:sz w:val="21"/>
          <w:szCs w:val="21"/>
          <w:lang w:eastAsia="tr-TR"/>
        </w:rPr>
      </w:pPr>
      <w:hyperlink r:id="rId155" w:history="1">
        <w:r w:rsidRPr="0045530E">
          <w:rPr>
            <w:rFonts w:ascii="Arial" w:eastAsia="Times New Roman" w:hAnsi="Arial" w:cs="Arial"/>
            <w:caps/>
            <w:color w:val="000000"/>
            <w:sz w:val="30"/>
            <w:szCs w:val="30"/>
            <w:u w:val="single"/>
            <w:bdr w:val="none" w:sz="0" w:space="0" w:color="auto" w:frame="1"/>
            <w:lang w:eastAsia="tr-TR"/>
          </w:rPr>
          <w:t>11. DESCRIPTION</w:t>
        </w:r>
      </w:hyperlink>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bookmarkStart w:id="119" w:name="La383e556-4b92-46cf-a6fe-c8cede8ccd65"/>
      <w:bookmarkStart w:id="120" w:name="section-10"/>
      <w:bookmarkEnd w:id="119"/>
      <w:bookmarkEnd w:id="120"/>
      <w:r w:rsidRPr="0045530E">
        <w:rPr>
          <w:rFonts w:ascii="inherit" w:eastAsia="Times New Roman" w:hAnsi="inherit" w:cs="Arial"/>
          <w:color w:val="222222"/>
          <w:sz w:val="21"/>
          <w:szCs w:val="21"/>
          <w:lang w:eastAsia="tr-TR"/>
        </w:rPr>
        <w:t xml:space="preserve">Celecoxib is chemically designated as 4-[5-(4-methylphenyl)-3-(trifluoromethyl)-1H-pyrazol1-yl] benzenesulfonamide and is a diaryl-substituted pyrazole. The empirical formula is C17H14F3N3O2S, and the molecular weight is </w:t>
      </w:r>
      <w:proofErr w:type="gramStart"/>
      <w:r w:rsidRPr="0045530E">
        <w:rPr>
          <w:rFonts w:ascii="inherit" w:eastAsia="Times New Roman" w:hAnsi="inherit" w:cs="Arial"/>
          <w:color w:val="222222"/>
          <w:sz w:val="21"/>
          <w:szCs w:val="21"/>
          <w:lang w:eastAsia="tr-TR"/>
        </w:rPr>
        <w:t>381.38</w:t>
      </w:r>
      <w:proofErr w:type="gramEnd"/>
      <w:r w:rsidRPr="0045530E">
        <w:rPr>
          <w:rFonts w:ascii="inherit" w:eastAsia="Times New Roman" w:hAnsi="inherit" w:cs="Arial"/>
          <w:color w:val="222222"/>
          <w:sz w:val="21"/>
          <w:szCs w:val="21"/>
          <w:lang w:eastAsia="tr-TR"/>
        </w:rPr>
        <w:t>; the chemical structure is as follows:</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noProof/>
          <w:color w:val="222222"/>
          <w:sz w:val="21"/>
          <w:szCs w:val="21"/>
          <w:lang w:eastAsia="tr-TR"/>
        </w:rPr>
        <w:drawing>
          <wp:inline distT="0" distB="0" distL="0" distR="0" wp14:anchorId="65CC46A3" wp14:editId="68BEC6E2">
            <wp:extent cx="1600200" cy="1066800"/>
            <wp:effectExtent l="0" t="0" r="0" b="0"/>
            <wp:docPr id="4" name="Resim 4" descr="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tructure"/>
                    <pic:cNvPicPr>
                      <a:picLocks noChangeAspect="1" noChangeArrowheads="1"/>
                    </pic:cNvPicPr>
                  </pic:nvPicPr>
                  <pic:blipFill>
                    <a:blip r:embed="rId156">
                      <a:extLst>
                        <a:ext uri="{28A0092B-C50C-407E-A947-70E740481C1C}">
                          <a14:useLocalDpi xmlns:a14="http://schemas.microsoft.com/office/drawing/2010/main" val="0"/>
                        </a:ext>
                      </a:extLst>
                    </a:blip>
                    <a:srcRect/>
                    <a:stretch>
                      <a:fillRect/>
                    </a:stretch>
                  </pic:blipFill>
                  <pic:spPr bwMode="auto">
                    <a:xfrm>
                      <a:off x="0" y="0"/>
                      <a:ext cx="1600200" cy="1066800"/>
                    </a:xfrm>
                    <a:prstGeom prst="rect">
                      <a:avLst/>
                    </a:prstGeom>
                    <a:noFill/>
                    <a:ln>
                      <a:noFill/>
                    </a:ln>
                  </pic:spPr>
                </pic:pic>
              </a:graphicData>
            </a:graphic>
          </wp:inline>
        </w:drawing>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Celecoxib oral capsules contain either 50 mg, 100 mg, 200 mg or 400 mg of celecoxib, together with inactive ingredients including: croscarmellose sodium, lactose monohydrate, magnesium stearate, povidone, sodium lauryl sulfate, titanium dioxide and gelatin. Details of non-volatile components of the imprinting ink are given below.</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50 mg capsule contains shellac, propylene glycol and red iron oxide.</w:t>
      </w:r>
      <w:r w:rsidRPr="0045530E">
        <w:rPr>
          <w:rFonts w:ascii="inherit" w:eastAsia="Times New Roman" w:hAnsi="inherit" w:cs="Arial"/>
          <w:color w:val="222222"/>
          <w:sz w:val="21"/>
          <w:szCs w:val="21"/>
          <w:lang w:eastAsia="tr-TR"/>
        </w:rPr>
        <w:br/>
        <w:t>100 mg capsule contains shellac, propylene glycol and FD &amp; C Blue No. # 2 aluminum lake.</w:t>
      </w:r>
      <w:r w:rsidRPr="0045530E">
        <w:rPr>
          <w:rFonts w:ascii="inherit" w:eastAsia="Times New Roman" w:hAnsi="inherit" w:cs="Arial"/>
          <w:color w:val="222222"/>
          <w:sz w:val="21"/>
          <w:szCs w:val="21"/>
          <w:lang w:eastAsia="tr-TR"/>
        </w:rPr>
        <w:br/>
        <w:t>200 mg capsule contains shellac, propylene glycol and yellow iron oxide.</w:t>
      </w:r>
      <w:r w:rsidRPr="0045530E">
        <w:rPr>
          <w:rFonts w:ascii="inherit" w:eastAsia="Times New Roman" w:hAnsi="inherit" w:cs="Arial"/>
          <w:color w:val="222222"/>
          <w:sz w:val="21"/>
          <w:szCs w:val="21"/>
          <w:lang w:eastAsia="tr-TR"/>
        </w:rPr>
        <w:br/>
        <w:t>400 mg capsule contains shellac, propylene glycol, titanium dioxide, yellow iron oxide and FD &amp; C Blue No. # 2 aluminum lake.</w:t>
      </w:r>
    </w:p>
    <w:p w:rsidR="0045530E" w:rsidRPr="0045530E" w:rsidRDefault="0045530E" w:rsidP="0045530E">
      <w:pPr>
        <w:shd w:val="clear" w:color="auto" w:fill="FFFFFF"/>
        <w:spacing w:after="75" w:line="240" w:lineRule="auto"/>
        <w:ind w:left="450"/>
        <w:textAlignment w:val="baseline"/>
        <w:rPr>
          <w:rFonts w:ascii="inherit" w:eastAsia="Times New Roman" w:hAnsi="inherit" w:cs="Arial"/>
          <w:color w:val="222222"/>
          <w:sz w:val="21"/>
          <w:szCs w:val="21"/>
          <w:lang w:eastAsia="tr-TR"/>
        </w:rPr>
      </w:pPr>
      <w:hyperlink r:id="rId157" w:history="1">
        <w:r w:rsidRPr="0045530E">
          <w:rPr>
            <w:rFonts w:ascii="Arial" w:eastAsia="Times New Roman" w:hAnsi="Arial" w:cs="Arial"/>
            <w:caps/>
            <w:color w:val="1D86BB"/>
            <w:sz w:val="18"/>
            <w:szCs w:val="18"/>
            <w:u w:val="single"/>
            <w:bdr w:val="none" w:sz="0" w:space="0" w:color="auto" w:frame="1"/>
            <w:lang w:eastAsia="tr-TR"/>
          </w:rPr>
          <w:t>CLOSE</w:t>
        </w:r>
      </w:hyperlink>
    </w:p>
    <w:p w:rsidR="0045530E" w:rsidRPr="0045530E" w:rsidRDefault="0045530E" w:rsidP="0045530E">
      <w:pPr>
        <w:numPr>
          <w:ilvl w:val="0"/>
          <w:numId w:val="9"/>
        </w:numPr>
        <w:shd w:val="clear" w:color="auto" w:fill="FFFFFF"/>
        <w:spacing w:after="0" w:line="240" w:lineRule="auto"/>
        <w:ind w:left="0"/>
        <w:textAlignment w:val="baseline"/>
        <w:rPr>
          <w:rFonts w:ascii="inherit" w:eastAsia="Times New Roman" w:hAnsi="inherit" w:cs="Arial"/>
          <w:color w:val="222222"/>
          <w:sz w:val="21"/>
          <w:szCs w:val="21"/>
          <w:lang w:eastAsia="tr-TR"/>
        </w:rPr>
      </w:pPr>
      <w:hyperlink r:id="rId158" w:history="1">
        <w:r w:rsidRPr="0045530E">
          <w:rPr>
            <w:rFonts w:ascii="Arial" w:eastAsia="Times New Roman" w:hAnsi="Arial" w:cs="Arial"/>
            <w:caps/>
            <w:color w:val="000000"/>
            <w:sz w:val="30"/>
            <w:szCs w:val="30"/>
            <w:u w:val="single"/>
            <w:bdr w:val="none" w:sz="0" w:space="0" w:color="auto" w:frame="1"/>
            <w:lang w:eastAsia="tr-TR"/>
          </w:rPr>
          <w:t>12. CLINICAL PHARMACOLOGY</w:t>
        </w:r>
      </w:hyperlink>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121" w:name="Lff991e3b-182e-4a22-a8c3-64d16b0f4f75"/>
      <w:bookmarkStart w:id="122" w:name="section-11"/>
      <w:bookmarkStart w:id="123" w:name="L6e975be3-e625-4adf-8a1e-a15541d10970"/>
      <w:bookmarkStart w:id="124" w:name="section-11.1"/>
      <w:bookmarkEnd w:id="121"/>
      <w:bookmarkEnd w:id="122"/>
      <w:bookmarkEnd w:id="123"/>
      <w:bookmarkEnd w:id="124"/>
      <w:r w:rsidRPr="0045530E">
        <w:rPr>
          <w:rFonts w:ascii="inherit" w:eastAsia="Times New Roman" w:hAnsi="inherit" w:cs="Arial"/>
          <w:b/>
          <w:bCs/>
          <w:color w:val="222222"/>
          <w:sz w:val="36"/>
          <w:szCs w:val="36"/>
          <w:lang w:eastAsia="tr-TR"/>
        </w:rPr>
        <w:t>12.1 Mechanism of Action</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Celecoxib is a nonsteroidal anti-inflammatory drug that exhibits anti-inflammatory, analgesic, and antipyretic activities in animal models. The mechanism of action of celecoxib is believed to be due to inhibition of prostaglandin synthesis, primarily via inhibition of cyclooxygenase-2 (COX-2), and at therapeutic concentrations in humans, celecoxib does not inhibit the cyclooxygenase-1 (COX-1) isoenzyme. In animal colon tumor models, celecoxib reduced the incidence and multiplicity of tumors.</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125" w:name="L57704a5a-fa06-4a75-a08f-a7e08095c53a"/>
      <w:bookmarkStart w:id="126" w:name="section-11.2"/>
      <w:bookmarkEnd w:id="125"/>
      <w:bookmarkEnd w:id="126"/>
      <w:r w:rsidRPr="0045530E">
        <w:rPr>
          <w:rFonts w:ascii="inherit" w:eastAsia="Times New Roman" w:hAnsi="inherit" w:cs="Arial"/>
          <w:b/>
          <w:bCs/>
          <w:color w:val="222222"/>
          <w:sz w:val="36"/>
          <w:szCs w:val="36"/>
          <w:lang w:eastAsia="tr-TR"/>
        </w:rPr>
        <w:t>12.2 Pharmacodynamics</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color w:val="222222"/>
          <w:sz w:val="21"/>
          <w:szCs w:val="21"/>
          <w:bdr w:val="none" w:sz="0" w:space="0" w:color="auto" w:frame="1"/>
          <w:lang w:eastAsia="tr-TR"/>
        </w:rPr>
        <w:t>Platelets:</w:t>
      </w:r>
      <w:r w:rsidRPr="0045530E">
        <w:rPr>
          <w:rFonts w:ascii="inherit" w:eastAsia="Times New Roman" w:hAnsi="inherit" w:cs="Arial"/>
          <w:color w:val="222222"/>
          <w:sz w:val="21"/>
          <w:szCs w:val="21"/>
          <w:lang w:eastAsia="tr-TR"/>
        </w:rPr>
        <w:t> In clinical trials using normal volunteers, celecoxib at single doses up to 800 mg and multiple doses of 600 mg twice daily for up to 7 days duration (higher than recommended therapeutic doses) had no effect on reduction of platelet aggregation or increase in bleeding time. Because of its lack of platelet effects, celecoxib is not a substitute for aspirin for cardiovascular prophylaxis. It is not known if there are any effects of celecoxib on platelets that may contribute to the increased risk of serious cardiovascular thrombotic adverse events associated with the use of celecoxib.</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color w:val="222222"/>
          <w:sz w:val="21"/>
          <w:szCs w:val="21"/>
          <w:bdr w:val="none" w:sz="0" w:space="0" w:color="auto" w:frame="1"/>
          <w:lang w:eastAsia="tr-TR"/>
        </w:rPr>
        <w:t>Fluid Retention:</w:t>
      </w:r>
      <w:r w:rsidRPr="0045530E">
        <w:rPr>
          <w:rFonts w:ascii="inherit" w:eastAsia="Times New Roman" w:hAnsi="inherit" w:cs="Arial"/>
          <w:color w:val="222222"/>
          <w:sz w:val="21"/>
          <w:szCs w:val="21"/>
          <w:lang w:eastAsia="tr-TR"/>
        </w:rPr>
        <w:t> Inhibition of PGE2 synthesis may lead to sodium and water retention through increased reabsorption in the renal medullary thick ascending loop of Henle and perhaps other segments of the distal nephron. In the collecting ducts, PGE2 appears to inhibit water reabsorption by counteracting the action of antidiuretic hormone.</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127" w:name="L2e3066d0-50ab-4d0a-9025-32eb51724954"/>
      <w:bookmarkStart w:id="128" w:name="section-11.3"/>
      <w:bookmarkEnd w:id="127"/>
      <w:bookmarkEnd w:id="128"/>
      <w:r w:rsidRPr="0045530E">
        <w:rPr>
          <w:rFonts w:ascii="inherit" w:eastAsia="Times New Roman" w:hAnsi="inherit" w:cs="Arial"/>
          <w:b/>
          <w:bCs/>
          <w:color w:val="222222"/>
          <w:sz w:val="36"/>
          <w:szCs w:val="36"/>
          <w:lang w:eastAsia="tr-TR"/>
        </w:rPr>
        <w:t>12.3 Pharmacokinetics</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color w:val="222222"/>
          <w:sz w:val="21"/>
          <w:szCs w:val="21"/>
          <w:bdr w:val="none" w:sz="0" w:space="0" w:color="auto" w:frame="1"/>
          <w:lang w:eastAsia="tr-TR"/>
        </w:rPr>
        <w:t>Absorption:</w:t>
      </w:r>
      <w:r w:rsidRPr="0045530E">
        <w:rPr>
          <w:rFonts w:ascii="inherit" w:eastAsia="Times New Roman" w:hAnsi="inherit" w:cs="Arial"/>
          <w:color w:val="222222"/>
          <w:sz w:val="21"/>
          <w:szCs w:val="21"/>
          <w:lang w:eastAsia="tr-TR"/>
        </w:rPr>
        <w:t> Peak plasma levels of celecoxib occur approximately 3 hrs after an oral dose. Under fasting conditions, both peak plasma levels (C</w:t>
      </w:r>
      <w:r w:rsidRPr="0045530E">
        <w:rPr>
          <w:rFonts w:ascii="inherit" w:eastAsia="Times New Roman" w:hAnsi="inherit" w:cs="Arial"/>
          <w:color w:val="222222"/>
          <w:sz w:val="17"/>
          <w:szCs w:val="17"/>
          <w:bdr w:val="none" w:sz="0" w:space="0" w:color="auto" w:frame="1"/>
          <w:lang w:eastAsia="tr-TR"/>
        </w:rPr>
        <w:t>max</w:t>
      </w:r>
      <w:r w:rsidRPr="0045530E">
        <w:rPr>
          <w:rFonts w:ascii="inherit" w:eastAsia="Times New Roman" w:hAnsi="inherit" w:cs="Arial"/>
          <w:color w:val="222222"/>
          <w:sz w:val="21"/>
          <w:szCs w:val="21"/>
          <w:lang w:eastAsia="tr-TR"/>
        </w:rPr>
        <w:t> ) and area under the curve (AUC) are roughly dose-proportional up to 200 mg BID; at higher doses there are less than proportional increases in C</w:t>
      </w:r>
      <w:r w:rsidRPr="0045530E">
        <w:rPr>
          <w:rFonts w:ascii="inherit" w:eastAsia="Times New Roman" w:hAnsi="inherit" w:cs="Arial"/>
          <w:color w:val="222222"/>
          <w:sz w:val="17"/>
          <w:szCs w:val="17"/>
          <w:bdr w:val="none" w:sz="0" w:space="0" w:color="auto" w:frame="1"/>
          <w:lang w:eastAsia="tr-TR"/>
        </w:rPr>
        <w:t>max</w:t>
      </w:r>
      <w:r w:rsidRPr="0045530E">
        <w:rPr>
          <w:rFonts w:ascii="inherit" w:eastAsia="Times New Roman" w:hAnsi="inherit" w:cs="Arial"/>
          <w:color w:val="222222"/>
          <w:sz w:val="21"/>
          <w:szCs w:val="21"/>
          <w:lang w:eastAsia="tr-TR"/>
        </w:rPr>
        <w:t> and AUC [see Food Effects]. Absolute bioavailability studies have not been conducted. With multiple dosing, steady-state conditions are reached on or before Day 5. The pharmacokinetic parameters of celecoxib in a group of healthy subjects are shown in Table 3.</w:t>
      </w:r>
    </w:p>
    <w:p w:rsidR="0045530E" w:rsidRPr="0045530E" w:rsidRDefault="0045530E" w:rsidP="0045530E">
      <w:pPr>
        <w:shd w:val="clear" w:color="auto" w:fill="FFFFFF"/>
        <w:spacing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color w:val="222222"/>
          <w:sz w:val="21"/>
          <w:szCs w:val="21"/>
          <w:bdr w:val="none" w:sz="0" w:space="0" w:color="auto" w:frame="1"/>
          <w:lang w:eastAsia="tr-TR"/>
        </w:rPr>
        <w:t>Table 3 Summary of Single Dose (200 mg) Disposition Kinetics of Celecoxib in Healthy Subjects1</w:t>
      </w:r>
    </w:p>
    <w:tbl>
      <w:tblPr>
        <w:tblW w:w="5000" w:type="pct"/>
        <w:tblCellMar>
          <w:left w:w="0" w:type="dxa"/>
          <w:right w:w="0" w:type="dxa"/>
        </w:tblCellMar>
        <w:tblLook w:val="04A0" w:firstRow="1" w:lastRow="0" w:firstColumn="1" w:lastColumn="0" w:noHBand="0" w:noVBand="1"/>
      </w:tblPr>
      <w:tblGrid>
        <w:gridCol w:w="1433"/>
        <w:gridCol w:w="3508"/>
        <w:gridCol w:w="1703"/>
        <w:gridCol w:w="1317"/>
        <w:gridCol w:w="1291"/>
      </w:tblGrid>
      <w:tr w:rsidR="0045530E" w:rsidRPr="0045530E" w:rsidTr="0045530E">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sz w:val="24"/>
                <w:szCs w:val="24"/>
                <w:bdr w:val="none" w:sz="0" w:space="0" w:color="auto" w:frame="1"/>
                <w:lang w:eastAsia="tr-TR"/>
              </w:rPr>
              <w:t>Mean (%CV) PK Parameter Values</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p>
        </w:tc>
      </w:tr>
      <w:tr w:rsidR="0045530E" w:rsidRPr="0045530E" w:rsidTr="0045530E">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sz w:val="24"/>
                <w:szCs w:val="24"/>
                <w:bdr w:val="none" w:sz="0" w:space="0" w:color="auto" w:frame="1"/>
                <w:lang w:eastAsia="tr-TR"/>
              </w:rPr>
              <w:t> C</w:t>
            </w:r>
            <w:r w:rsidRPr="0045530E">
              <w:rPr>
                <w:rFonts w:ascii="inherit" w:eastAsia="Times New Roman" w:hAnsi="inherit" w:cs="Times New Roman"/>
                <w:b/>
                <w:bCs/>
                <w:sz w:val="17"/>
                <w:szCs w:val="17"/>
                <w:bdr w:val="none" w:sz="0" w:space="0" w:color="auto" w:frame="1"/>
                <w:lang w:eastAsia="tr-TR"/>
              </w:rPr>
              <w:t>max</w:t>
            </w:r>
            <w:r w:rsidRPr="0045530E">
              <w:rPr>
                <w:rFonts w:ascii="inherit" w:eastAsia="Times New Roman" w:hAnsi="inherit" w:cs="Times New Roman"/>
                <w:b/>
                <w:bCs/>
                <w:sz w:val="24"/>
                <w:szCs w:val="24"/>
                <w:bdr w:val="none" w:sz="0" w:space="0" w:color="auto" w:frame="1"/>
                <w:lang w:eastAsia="tr-TR"/>
              </w:rPr>
              <w:t>, ng/mL</w:t>
            </w:r>
          </w:p>
        </w:tc>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sz w:val="24"/>
                <w:szCs w:val="24"/>
                <w:bdr w:val="none" w:sz="0" w:space="0" w:color="auto" w:frame="1"/>
                <w:lang w:eastAsia="tr-TR"/>
              </w:rPr>
              <w:t>T</w:t>
            </w:r>
            <w:r w:rsidRPr="0045530E">
              <w:rPr>
                <w:rFonts w:ascii="inherit" w:eastAsia="Times New Roman" w:hAnsi="inherit" w:cs="Times New Roman"/>
                <w:b/>
                <w:bCs/>
                <w:sz w:val="17"/>
                <w:szCs w:val="17"/>
                <w:bdr w:val="none" w:sz="0" w:space="0" w:color="auto" w:frame="1"/>
                <w:lang w:eastAsia="tr-TR"/>
              </w:rPr>
              <w:t>max</w:t>
            </w:r>
            <w:r w:rsidRPr="0045530E">
              <w:rPr>
                <w:rFonts w:ascii="inherit" w:eastAsia="Times New Roman" w:hAnsi="inherit" w:cs="Times New Roman"/>
                <w:b/>
                <w:bCs/>
                <w:sz w:val="24"/>
                <w:szCs w:val="24"/>
                <w:bdr w:val="none" w:sz="0" w:space="0" w:color="auto" w:frame="1"/>
                <w:lang w:eastAsia="tr-TR"/>
              </w:rPr>
              <w:t>, hr</w:t>
            </w:r>
          </w:p>
        </w:tc>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sz w:val="24"/>
                <w:szCs w:val="24"/>
                <w:bdr w:val="none" w:sz="0" w:space="0" w:color="auto" w:frame="1"/>
                <w:lang w:eastAsia="tr-TR"/>
              </w:rPr>
              <w:t>Effective t</w:t>
            </w:r>
            <w:r w:rsidRPr="0045530E">
              <w:rPr>
                <w:rFonts w:ascii="inherit" w:eastAsia="Times New Roman" w:hAnsi="inherit" w:cs="Times New Roman"/>
                <w:b/>
                <w:bCs/>
                <w:sz w:val="17"/>
                <w:szCs w:val="17"/>
                <w:bdr w:val="none" w:sz="0" w:space="0" w:color="auto" w:frame="1"/>
                <w:lang w:eastAsia="tr-TR"/>
              </w:rPr>
              <w:t>1/2</w:t>
            </w:r>
            <w:r w:rsidRPr="0045530E">
              <w:rPr>
                <w:rFonts w:ascii="inherit" w:eastAsia="Times New Roman" w:hAnsi="inherit" w:cs="Times New Roman"/>
                <w:b/>
                <w:bCs/>
                <w:sz w:val="24"/>
                <w:szCs w:val="24"/>
                <w:bdr w:val="none" w:sz="0" w:space="0" w:color="auto" w:frame="1"/>
                <w:lang w:eastAsia="tr-TR"/>
              </w:rPr>
              <w:t>, hr</w:t>
            </w:r>
          </w:p>
        </w:tc>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sz w:val="24"/>
                <w:szCs w:val="24"/>
                <w:bdr w:val="none" w:sz="0" w:space="0" w:color="auto" w:frame="1"/>
                <w:lang w:eastAsia="tr-TR"/>
              </w:rPr>
              <w:t>hr V</w:t>
            </w:r>
            <w:r w:rsidRPr="0045530E">
              <w:rPr>
                <w:rFonts w:ascii="inherit" w:eastAsia="Times New Roman" w:hAnsi="inherit" w:cs="Times New Roman"/>
                <w:b/>
                <w:bCs/>
                <w:sz w:val="17"/>
                <w:szCs w:val="17"/>
                <w:bdr w:val="none" w:sz="0" w:space="0" w:color="auto" w:frame="1"/>
                <w:lang w:eastAsia="tr-TR"/>
              </w:rPr>
              <w:t>ss</w:t>
            </w:r>
            <w:r w:rsidRPr="0045530E">
              <w:rPr>
                <w:rFonts w:ascii="inherit" w:eastAsia="Times New Roman" w:hAnsi="inherit" w:cs="Times New Roman"/>
                <w:b/>
                <w:bCs/>
                <w:sz w:val="24"/>
                <w:szCs w:val="24"/>
                <w:bdr w:val="none" w:sz="0" w:space="0" w:color="auto" w:frame="1"/>
                <w:lang w:eastAsia="tr-TR"/>
              </w:rPr>
              <w:t> /F, L </w:t>
            </w:r>
          </w:p>
        </w:tc>
        <w:tc>
          <w:tcPr>
            <w:tcW w:w="0" w:type="auto"/>
            <w:tcBorders>
              <w:top w:val="single" w:sz="6" w:space="0" w:color="000000"/>
              <w:left w:val="single" w:sz="6" w:space="0" w:color="000000"/>
              <w:bottom w:val="single" w:sz="18"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sz w:val="24"/>
                <w:szCs w:val="24"/>
                <w:bdr w:val="none" w:sz="0" w:space="0" w:color="auto" w:frame="1"/>
                <w:lang w:eastAsia="tr-TR"/>
              </w:rPr>
              <w:t>CL/F, L/hr </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 705 (38)</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 2.8 (37)</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 11.2 (31)</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 429 (34)</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 27.7 (28)</w:t>
            </w:r>
          </w:p>
        </w:tc>
      </w:tr>
    </w:tbl>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bdr w:val="none" w:sz="0" w:space="0" w:color="auto" w:frame="1"/>
          <w:lang w:eastAsia="tr-TR"/>
        </w:rPr>
        <w:t>1</w:t>
      </w:r>
      <w:r w:rsidRPr="0045530E">
        <w:rPr>
          <w:rFonts w:ascii="inherit" w:eastAsia="Times New Roman" w:hAnsi="inherit" w:cs="Arial"/>
          <w:color w:val="222222"/>
          <w:sz w:val="21"/>
          <w:szCs w:val="21"/>
          <w:lang w:eastAsia="tr-TR"/>
        </w:rPr>
        <w:t>Subjects under fasting conditions (n=36, 19 to 52 yrs.)</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i/>
          <w:iCs/>
          <w:color w:val="222222"/>
          <w:sz w:val="21"/>
          <w:szCs w:val="21"/>
          <w:bdr w:val="none" w:sz="0" w:space="0" w:color="auto" w:frame="1"/>
          <w:lang w:eastAsia="tr-TR"/>
        </w:rPr>
        <w:t xml:space="preserve">Food </w:t>
      </w:r>
      <w:proofErr w:type="gramStart"/>
      <w:r w:rsidRPr="0045530E">
        <w:rPr>
          <w:rFonts w:ascii="inherit" w:eastAsia="Times New Roman" w:hAnsi="inherit" w:cs="Arial"/>
          <w:b/>
          <w:bCs/>
          <w:i/>
          <w:iCs/>
          <w:color w:val="222222"/>
          <w:sz w:val="21"/>
          <w:szCs w:val="21"/>
          <w:bdr w:val="none" w:sz="0" w:space="0" w:color="auto" w:frame="1"/>
          <w:lang w:eastAsia="tr-TR"/>
        </w:rPr>
        <w:t>Effects:</w:t>
      </w:r>
      <w:r w:rsidRPr="0045530E">
        <w:rPr>
          <w:rFonts w:ascii="inherit" w:eastAsia="Times New Roman" w:hAnsi="inherit" w:cs="Arial"/>
          <w:color w:val="222222"/>
          <w:sz w:val="21"/>
          <w:szCs w:val="21"/>
          <w:lang w:eastAsia="tr-TR"/>
        </w:rPr>
        <w:t>When</w:t>
      </w:r>
      <w:proofErr w:type="gramEnd"/>
      <w:r w:rsidRPr="0045530E">
        <w:rPr>
          <w:rFonts w:ascii="inherit" w:eastAsia="Times New Roman" w:hAnsi="inherit" w:cs="Arial"/>
          <w:color w:val="222222"/>
          <w:sz w:val="21"/>
          <w:szCs w:val="21"/>
          <w:lang w:eastAsia="tr-TR"/>
        </w:rPr>
        <w:t xml:space="preserve"> celecoxib capsules were taken with a high fat meal, peak plasma levels were delayed for about 1 to 2 hours with an increase in total absorption (AUC) of 10% to 20%. Under fasting conditions, at doses above 200 mg, there is less than a proportional increase in C</w:t>
      </w:r>
      <w:r w:rsidRPr="0045530E">
        <w:rPr>
          <w:rFonts w:ascii="inherit" w:eastAsia="Times New Roman" w:hAnsi="inherit" w:cs="Arial"/>
          <w:color w:val="222222"/>
          <w:sz w:val="17"/>
          <w:szCs w:val="17"/>
          <w:bdr w:val="none" w:sz="0" w:space="0" w:color="auto" w:frame="1"/>
          <w:lang w:eastAsia="tr-TR"/>
        </w:rPr>
        <w:t>max </w:t>
      </w:r>
      <w:r w:rsidRPr="0045530E">
        <w:rPr>
          <w:rFonts w:ascii="inherit" w:eastAsia="Times New Roman" w:hAnsi="inherit" w:cs="Arial"/>
          <w:color w:val="222222"/>
          <w:sz w:val="21"/>
          <w:szCs w:val="21"/>
          <w:lang w:eastAsia="tr-TR"/>
        </w:rPr>
        <w:t>and AUC, which is thought to be due to the low solubility of the drug in aqueous media. Coadministration of celecoxib with an aluminum- and magnesium-containing antacids resulted in a reduction in plasma celecoxib concentrations with a decrease of 37% in C</w:t>
      </w:r>
      <w:r w:rsidRPr="0045530E">
        <w:rPr>
          <w:rFonts w:ascii="inherit" w:eastAsia="Times New Roman" w:hAnsi="inherit" w:cs="Arial"/>
          <w:color w:val="222222"/>
          <w:sz w:val="17"/>
          <w:szCs w:val="17"/>
          <w:bdr w:val="none" w:sz="0" w:space="0" w:color="auto" w:frame="1"/>
          <w:lang w:eastAsia="tr-TR"/>
        </w:rPr>
        <w:t>max</w:t>
      </w:r>
      <w:r w:rsidRPr="0045530E">
        <w:rPr>
          <w:rFonts w:ascii="inherit" w:eastAsia="Times New Roman" w:hAnsi="inherit" w:cs="Arial"/>
          <w:color w:val="222222"/>
          <w:sz w:val="21"/>
          <w:szCs w:val="21"/>
          <w:lang w:eastAsia="tr-TR"/>
        </w:rPr>
        <w:t xml:space="preserve"> and  10% in AUC. Celecoxib, at doses up to 200 mg twice daily, can be administered without regard to timing of meals. Higher doses (400 mg twice daily) should be administered with food to improve absorption. In healthy adult volunteers, the overall systemic exposure (AUC) of celecoxib was equivalent when celecoxib was administered as intact capsule or capsule contents sprinkled on applesauce. There were no significant alterations in </w:t>
      </w:r>
      <w:proofErr w:type="gramStart"/>
      <w:r w:rsidRPr="0045530E">
        <w:rPr>
          <w:rFonts w:ascii="inherit" w:eastAsia="Times New Roman" w:hAnsi="inherit" w:cs="Arial"/>
          <w:color w:val="222222"/>
          <w:sz w:val="21"/>
          <w:szCs w:val="21"/>
          <w:lang w:eastAsia="tr-TR"/>
        </w:rPr>
        <w:t>C</w:t>
      </w:r>
      <w:r w:rsidRPr="0045530E">
        <w:rPr>
          <w:rFonts w:ascii="inherit" w:eastAsia="Times New Roman" w:hAnsi="inherit" w:cs="Arial"/>
          <w:color w:val="222222"/>
          <w:sz w:val="17"/>
          <w:szCs w:val="17"/>
          <w:bdr w:val="none" w:sz="0" w:space="0" w:color="auto" w:frame="1"/>
          <w:lang w:eastAsia="tr-TR"/>
        </w:rPr>
        <w:t>max </w:t>
      </w:r>
      <w:r w:rsidRPr="0045530E">
        <w:rPr>
          <w:rFonts w:ascii="inherit" w:eastAsia="Times New Roman" w:hAnsi="inherit" w:cs="Arial"/>
          <w:color w:val="222222"/>
          <w:sz w:val="21"/>
          <w:szCs w:val="21"/>
          <w:lang w:eastAsia="tr-TR"/>
        </w:rPr>
        <w:t>, T</w:t>
      </w:r>
      <w:r w:rsidRPr="0045530E">
        <w:rPr>
          <w:rFonts w:ascii="inherit" w:eastAsia="Times New Roman" w:hAnsi="inherit" w:cs="Arial"/>
          <w:color w:val="222222"/>
          <w:sz w:val="17"/>
          <w:szCs w:val="17"/>
          <w:bdr w:val="none" w:sz="0" w:space="0" w:color="auto" w:frame="1"/>
          <w:lang w:eastAsia="tr-TR"/>
        </w:rPr>
        <w:t>max</w:t>
      </w:r>
      <w:proofErr w:type="gramEnd"/>
      <w:r w:rsidRPr="0045530E">
        <w:rPr>
          <w:rFonts w:ascii="inherit" w:eastAsia="Times New Roman" w:hAnsi="inherit" w:cs="Arial"/>
          <w:color w:val="222222"/>
          <w:sz w:val="17"/>
          <w:szCs w:val="17"/>
          <w:bdr w:val="none" w:sz="0" w:space="0" w:color="auto" w:frame="1"/>
          <w:lang w:eastAsia="tr-TR"/>
        </w:rPr>
        <w:t> </w:t>
      </w:r>
      <w:r w:rsidRPr="0045530E">
        <w:rPr>
          <w:rFonts w:ascii="inherit" w:eastAsia="Times New Roman" w:hAnsi="inherit" w:cs="Arial"/>
          <w:color w:val="222222"/>
          <w:sz w:val="21"/>
          <w:szCs w:val="21"/>
          <w:lang w:eastAsia="tr-TR"/>
        </w:rPr>
        <w:t>or t</w:t>
      </w:r>
      <w:r w:rsidRPr="0045530E">
        <w:rPr>
          <w:rFonts w:ascii="inherit" w:eastAsia="Times New Roman" w:hAnsi="inherit" w:cs="Arial"/>
          <w:color w:val="222222"/>
          <w:sz w:val="17"/>
          <w:szCs w:val="17"/>
          <w:bdr w:val="none" w:sz="0" w:space="0" w:color="auto" w:frame="1"/>
          <w:lang w:eastAsia="tr-TR"/>
        </w:rPr>
        <w:t>1/2</w:t>
      </w:r>
      <w:r w:rsidRPr="0045530E">
        <w:rPr>
          <w:rFonts w:ascii="inherit" w:eastAsia="Times New Roman" w:hAnsi="inherit" w:cs="Arial"/>
          <w:color w:val="222222"/>
          <w:sz w:val="21"/>
          <w:szCs w:val="21"/>
          <w:lang w:eastAsia="tr-TR"/>
        </w:rPr>
        <w:t> after administration of capsule contents on applesauce </w:t>
      </w:r>
      <w:r w:rsidRPr="0045530E">
        <w:rPr>
          <w:rFonts w:ascii="inherit" w:eastAsia="Times New Roman" w:hAnsi="inherit" w:cs="Arial"/>
          <w:i/>
          <w:iCs/>
          <w:color w:val="222222"/>
          <w:sz w:val="21"/>
          <w:szCs w:val="21"/>
          <w:bdr w:val="none" w:sz="0" w:space="0" w:color="auto" w:frame="1"/>
          <w:lang w:eastAsia="tr-TR"/>
        </w:rPr>
        <w:t>[see Dosage and Administration (2)].</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proofErr w:type="gramStart"/>
      <w:r w:rsidRPr="0045530E">
        <w:rPr>
          <w:rFonts w:ascii="inherit" w:eastAsia="Times New Roman" w:hAnsi="inherit" w:cs="Arial"/>
          <w:b/>
          <w:bCs/>
          <w:i/>
          <w:iCs/>
          <w:color w:val="222222"/>
          <w:sz w:val="21"/>
          <w:szCs w:val="21"/>
          <w:bdr w:val="none" w:sz="0" w:space="0" w:color="auto" w:frame="1"/>
          <w:lang w:eastAsia="tr-TR"/>
        </w:rPr>
        <w:t>Distribution:</w:t>
      </w:r>
      <w:r w:rsidRPr="0045530E">
        <w:rPr>
          <w:rFonts w:ascii="inherit" w:eastAsia="Times New Roman" w:hAnsi="inherit" w:cs="Arial"/>
          <w:color w:val="222222"/>
          <w:sz w:val="21"/>
          <w:szCs w:val="21"/>
          <w:lang w:eastAsia="tr-TR"/>
        </w:rPr>
        <w:t>In</w:t>
      </w:r>
      <w:proofErr w:type="gramEnd"/>
      <w:r w:rsidRPr="0045530E">
        <w:rPr>
          <w:rFonts w:ascii="inherit" w:eastAsia="Times New Roman" w:hAnsi="inherit" w:cs="Arial"/>
          <w:color w:val="222222"/>
          <w:sz w:val="21"/>
          <w:szCs w:val="21"/>
          <w:lang w:eastAsia="tr-TR"/>
        </w:rPr>
        <w:t xml:space="preserve"> healthy subjects, celecoxib is highly protein bound (~97%) within the clinical dose range. In vitro studies indicate that celecoxib binds primarily to albumin and, to a lesser extent, a -acid glycoprotein. The apparent volume of distribution at steady state (Vss/F) is 1 approximately 400 L, suggesting extensive distribution into the tissues. Celecoxib is not preferentially bound to red blood cells.</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i/>
          <w:iCs/>
          <w:color w:val="222222"/>
          <w:sz w:val="21"/>
          <w:szCs w:val="21"/>
          <w:bdr w:val="none" w:sz="0" w:space="0" w:color="auto" w:frame="1"/>
          <w:lang w:eastAsia="tr-TR"/>
        </w:rPr>
        <w:t>Metabolism:</w:t>
      </w:r>
      <w:r w:rsidRPr="0045530E">
        <w:rPr>
          <w:rFonts w:ascii="inherit" w:eastAsia="Times New Roman" w:hAnsi="inherit" w:cs="Arial"/>
          <w:color w:val="222222"/>
          <w:sz w:val="21"/>
          <w:szCs w:val="21"/>
          <w:lang w:eastAsia="tr-TR"/>
        </w:rPr>
        <w:t> Celecoxib metabolism is primarily mediated via CYP2C9. Three metabolites, a primary alcohol, the corresponding carboxylic acid and its glucuronide conjugate, have been identified in human plasma. These metabolites are inactive as COX-1 or COX-2 inhibitors.</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i/>
          <w:iCs/>
          <w:color w:val="222222"/>
          <w:sz w:val="21"/>
          <w:szCs w:val="21"/>
          <w:bdr w:val="none" w:sz="0" w:space="0" w:color="auto" w:frame="1"/>
          <w:lang w:eastAsia="tr-TR"/>
        </w:rPr>
        <w:t>Excretion:</w:t>
      </w:r>
      <w:r w:rsidRPr="0045530E">
        <w:rPr>
          <w:rFonts w:ascii="inherit" w:eastAsia="Times New Roman" w:hAnsi="inherit" w:cs="Arial"/>
          <w:color w:val="222222"/>
          <w:sz w:val="21"/>
          <w:szCs w:val="21"/>
          <w:lang w:eastAsia="tr-TR"/>
        </w:rPr>
        <w:t> Celecoxib is eliminated predominantly by hepatic metabolism with little (&lt;3%) unchanged drug recovered in the urine and feces. Following a single oral dose of radiolabeled drug, approximately 57% of the dose was excreted in the feces and 27% was excreted into the urine. The primary metabolite in both urine and feces was the carboxylic acid metabolite (73% of dose) with low amounts of the glucuronide also appearing in the urine. It appears that the low solubility of the drug prolongs the absorption process making terminal half-life (t ) 1/2 determinations more variable. The effective half-life is approximately 11 hours under fasted conditions. The apparent plasma clearance (CL/F) is about 500 mL/min.</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i/>
          <w:iCs/>
          <w:color w:val="222222"/>
          <w:sz w:val="21"/>
          <w:szCs w:val="21"/>
          <w:bdr w:val="none" w:sz="0" w:space="0" w:color="auto" w:frame="1"/>
          <w:lang w:eastAsia="tr-TR"/>
        </w:rPr>
        <w:t>Geriatric:</w:t>
      </w:r>
      <w:r w:rsidRPr="0045530E">
        <w:rPr>
          <w:rFonts w:ascii="inherit" w:eastAsia="Times New Roman" w:hAnsi="inherit" w:cs="Arial"/>
          <w:color w:val="222222"/>
          <w:sz w:val="21"/>
          <w:szCs w:val="21"/>
          <w:lang w:eastAsia="tr-TR"/>
        </w:rPr>
        <w:t> At steady state, elderly subjects (over 65 years old) had a 40% higher C</w:t>
      </w:r>
      <w:r w:rsidRPr="0045530E">
        <w:rPr>
          <w:rFonts w:ascii="inherit" w:eastAsia="Times New Roman" w:hAnsi="inherit" w:cs="Arial"/>
          <w:color w:val="222222"/>
          <w:sz w:val="17"/>
          <w:szCs w:val="17"/>
          <w:bdr w:val="none" w:sz="0" w:space="0" w:color="auto" w:frame="1"/>
          <w:lang w:eastAsia="tr-TR"/>
        </w:rPr>
        <w:t>max </w:t>
      </w:r>
      <w:r w:rsidRPr="0045530E">
        <w:rPr>
          <w:rFonts w:ascii="inherit" w:eastAsia="Times New Roman" w:hAnsi="inherit" w:cs="Arial"/>
          <w:color w:val="222222"/>
          <w:sz w:val="21"/>
          <w:szCs w:val="21"/>
          <w:lang w:eastAsia="tr-TR"/>
        </w:rPr>
        <w:t>and a  50% higher AUC compared to the young subjects. In elderly females, celecoxib C</w:t>
      </w:r>
      <w:r w:rsidRPr="0045530E">
        <w:rPr>
          <w:rFonts w:ascii="inherit" w:eastAsia="Times New Roman" w:hAnsi="inherit" w:cs="Arial"/>
          <w:color w:val="222222"/>
          <w:sz w:val="17"/>
          <w:szCs w:val="17"/>
          <w:bdr w:val="none" w:sz="0" w:space="0" w:color="auto" w:frame="1"/>
          <w:lang w:eastAsia="tr-TR"/>
        </w:rPr>
        <w:t>max </w:t>
      </w:r>
      <w:r w:rsidRPr="0045530E">
        <w:rPr>
          <w:rFonts w:ascii="inherit" w:eastAsia="Times New Roman" w:hAnsi="inherit" w:cs="Arial"/>
          <w:color w:val="222222"/>
          <w:sz w:val="21"/>
          <w:szCs w:val="21"/>
          <w:lang w:eastAsia="tr-TR"/>
        </w:rPr>
        <w:t>and AUC are higher than those for elderly males, but these increases are predominantly due to lower body weight in elderly females. Dose adjustment in the elderly is not generally necessary. However, for patients of less than 50 kg in body weight, initiate therapy at the lowest recommended dose </w:t>
      </w:r>
      <w:r w:rsidRPr="0045530E">
        <w:rPr>
          <w:rFonts w:ascii="inherit" w:eastAsia="Times New Roman" w:hAnsi="inherit" w:cs="Arial"/>
          <w:i/>
          <w:iCs/>
          <w:color w:val="222222"/>
          <w:sz w:val="21"/>
          <w:szCs w:val="21"/>
          <w:bdr w:val="none" w:sz="0" w:space="0" w:color="auto" w:frame="1"/>
          <w:lang w:eastAsia="tr-TR"/>
        </w:rPr>
        <w:t>[see Dosage and Administration (</w:t>
      </w:r>
      <w:proofErr w:type="gramStart"/>
      <w:r w:rsidRPr="0045530E">
        <w:rPr>
          <w:rFonts w:ascii="inherit" w:eastAsia="Times New Roman" w:hAnsi="inherit" w:cs="Arial"/>
          <w:i/>
          <w:iCs/>
          <w:color w:val="222222"/>
          <w:sz w:val="21"/>
          <w:szCs w:val="21"/>
          <w:bdr w:val="none" w:sz="0" w:space="0" w:color="auto" w:frame="1"/>
          <w:lang w:eastAsia="tr-TR"/>
        </w:rPr>
        <w:t>2.6</w:t>
      </w:r>
      <w:proofErr w:type="gramEnd"/>
      <w:r w:rsidRPr="0045530E">
        <w:rPr>
          <w:rFonts w:ascii="inherit" w:eastAsia="Times New Roman" w:hAnsi="inherit" w:cs="Arial"/>
          <w:i/>
          <w:iCs/>
          <w:color w:val="222222"/>
          <w:sz w:val="21"/>
          <w:szCs w:val="21"/>
          <w:bdr w:val="none" w:sz="0" w:space="0" w:color="auto" w:frame="1"/>
          <w:lang w:eastAsia="tr-TR"/>
        </w:rPr>
        <w:t>) and Use in Specific Populations (8.5)].</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proofErr w:type="gramStart"/>
      <w:r w:rsidRPr="0045530E">
        <w:rPr>
          <w:rFonts w:ascii="inherit" w:eastAsia="Times New Roman" w:hAnsi="inherit" w:cs="Arial"/>
          <w:b/>
          <w:bCs/>
          <w:i/>
          <w:iCs/>
          <w:color w:val="222222"/>
          <w:sz w:val="21"/>
          <w:szCs w:val="21"/>
          <w:bdr w:val="none" w:sz="0" w:space="0" w:color="auto" w:frame="1"/>
          <w:lang w:eastAsia="tr-TR"/>
        </w:rPr>
        <w:t>Pediatric:</w:t>
      </w:r>
      <w:r w:rsidRPr="0045530E">
        <w:rPr>
          <w:rFonts w:ascii="inherit" w:eastAsia="Times New Roman" w:hAnsi="inherit" w:cs="Arial"/>
          <w:color w:val="222222"/>
          <w:sz w:val="21"/>
          <w:szCs w:val="21"/>
          <w:lang w:eastAsia="tr-TR"/>
        </w:rPr>
        <w:t>The</w:t>
      </w:r>
      <w:proofErr w:type="gramEnd"/>
      <w:r w:rsidRPr="0045530E">
        <w:rPr>
          <w:rFonts w:ascii="inherit" w:eastAsia="Times New Roman" w:hAnsi="inherit" w:cs="Arial"/>
          <w:color w:val="222222"/>
          <w:sz w:val="21"/>
          <w:szCs w:val="21"/>
          <w:lang w:eastAsia="tr-TR"/>
        </w:rPr>
        <w:t xml:space="preserve"> steady state pharmacokinetics of celecoxib administered as an investigational oral suspension was evaluated in 152 JRA patients 2 years to 17 years of age weighing </w:t>
      </w:r>
      <w:r w:rsidRPr="0045530E">
        <w:rPr>
          <w:rFonts w:ascii="inherit" w:eastAsia="Times New Roman" w:hAnsi="inherit" w:cs="Arial"/>
          <w:color w:val="222222"/>
          <w:sz w:val="21"/>
          <w:szCs w:val="21"/>
          <w:u w:val="single"/>
          <w:bdr w:val="none" w:sz="0" w:space="0" w:color="auto" w:frame="1"/>
          <w:lang w:eastAsia="tr-TR"/>
        </w:rPr>
        <w:t>&gt;</w:t>
      </w:r>
      <w:r w:rsidRPr="0045530E">
        <w:rPr>
          <w:rFonts w:ascii="inherit" w:eastAsia="Times New Roman" w:hAnsi="inherit" w:cs="Arial"/>
          <w:color w:val="222222"/>
          <w:sz w:val="21"/>
          <w:szCs w:val="21"/>
          <w:lang w:eastAsia="tr-TR"/>
        </w:rPr>
        <w:t>10 kg with pauciarticular or polyarticular course JRA and in patients with systemic onset JRA. Population pharmacokinetic analysis indicated that the oral clearance (unadjusted for body weight) of celecoxib increases less than proportionally to increasing weight, with 10 kg and 25 kg patients predicted to have 40% and 24% lower clearance, respectively, compared with a 70 kg adult RA patient.</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Twice-daily administration of 50 mg capsules to JRA patients weighing </w:t>
      </w:r>
      <w:r w:rsidRPr="0045530E">
        <w:rPr>
          <w:rFonts w:ascii="inherit" w:eastAsia="Times New Roman" w:hAnsi="inherit" w:cs="Arial"/>
          <w:color w:val="222222"/>
          <w:sz w:val="21"/>
          <w:szCs w:val="21"/>
          <w:u w:val="single"/>
          <w:bdr w:val="none" w:sz="0" w:space="0" w:color="auto" w:frame="1"/>
          <w:lang w:eastAsia="tr-TR"/>
        </w:rPr>
        <w:t>&gt;</w:t>
      </w:r>
      <w:r w:rsidRPr="0045530E">
        <w:rPr>
          <w:rFonts w:ascii="inherit" w:eastAsia="Times New Roman" w:hAnsi="inherit" w:cs="Arial"/>
          <w:color w:val="222222"/>
          <w:sz w:val="21"/>
          <w:szCs w:val="21"/>
          <w:lang w:eastAsia="tr-TR"/>
        </w:rPr>
        <w:t>12 to </w:t>
      </w:r>
      <w:r w:rsidRPr="0045530E">
        <w:rPr>
          <w:rFonts w:ascii="inherit" w:eastAsia="Times New Roman" w:hAnsi="inherit" w:cs="Arial"/>
          <w:color w:val="222222"/>
          <w:sz w:val="21"/>
          <w:szCs w:val="21"/>
          <w:u w:val="single"/>
          <w:bdr w:val="none" w:sz="0" w:space="0" w:color="auto" w:frame="1"/>
          <w:lang w:eastAsia="tr-TR"/>
        </w:rPr>
        <w:t>&lt;</w:t>
      </w:r>
      <w:r w:rsidRPr="0045530E">
        <w:rPr>
          <w:rFonts w:ascii="inherit" w:eastAsia="Times New Roman" w:hAnsi="inherit" w:cs="Arial"/>
          <w:color w:val="222222"/>
          <w:sz w:val="21"/>
          <w:szCs w:val="21"/>
          <w:lang w:eastAsia="tr-TR"/>
        </w:rPr>
        <w:t xml:space="preserve">25 kg and 100 mg capsules to JRA patients weighing &gt;25 kg should achieve plasma concentrations similar to those observed in a clinical trial that demonstrated the non-inferiority of celecoxib to naproxen </w:t>
      </w:r>
      <w:proofErr w:type="gramStart"/>
      <w:r w:rsidRPr="0045530E">
        <w:rPr>
          <w:rFonts w:ascii="inherit" w:eastAsia="Times New Roman" w:hAnsi="inherit" w:cs="Arial"/>
          <w:color w:val="222222"/>
          <w:sz w:val="21"/>
          <w:szCs w:val="21"/>
          <w:lang w:eastAsia="tr-TR"/>
        </w:rPr>
        <w:t>7.5</w:t>
      </w:r>
      <w:proofErr w:type="gramEnd"/>
      <w:r w:rsidRPr="0045530E">
        <w:rPr>
          <w:rFonts w:ascii="inherit" w:eastAsia="Times New Roman" w:hAnsi="inherit" w:cs="Arial"/>
          <w:color w:val="222222"/>
          <w:sz w:val="21"/>
          <w:szCs w:val="21"/>
          <w:lang w:eastAsia="tr-TR"/>
        </w:rPr>
        <w:t xml:space="preserve"> mg/kg twice daily [see Dosage and Administration (2.3)]. Celecoxib has not been studied in JRA patients under the age of 2 years, in patients with body weight less than 10 kg (22 lbs), or beyond 24 weeks.</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i/>
          <w:iCs/>
          <w:color w:val="222222"/>
          <w:sz w:val="21"/>
          <w:szCs w:val="21"/>
          <w:bdr w:val="none" w:sz="0" w:space="0" w:color="auto" w:frame="1"/>
          <w:lang w:eastAsia="tr-TR"/>
        </w:rPr>
        <w:t>Race:</w:t>
      </w:r>
      <w:r w:rsidRPr="0045530E">
        <w:rPr>
          <w:rFonts w:ascii="inherit" w:eastAsia="Times New Roman" w:hAnsi="inherit" w:cs="Arial"/>
          <w:color w:val="222222"/>
          <w:sz w:val="21"/>
          <w:szCs w:val="21"/>
          <w:lang w:eastAsia="tr-TR"/>
        </w:rPr>
        <w:t> Meta-analysis of pharmacokinetic studies has suggested an approximately 40% higher AUC of celecoxib in Blacks compared to Caucasians. The cause and clinical significance of this finding is unknown.</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i/>
          <w:iCs/>
          <w:color w:val="222222"/>
          <w:sz w:val="21"/>
          <w:szCs w:val="21"/>
          <w:bdr w:val="none" w:sz="0" w:space="0" w:color="auto" w:frame="1"/>
          <w:lang w:eastAsia="tr-TR"/>
        </w:rPr>
        <w:t xml:space="preserve">Hepatic </w:t>
      </w:r>
      <w:proofErr w:type="gramStart"/>
      <w:r w:rsidRPr="0045530E">
        <w:rPr>
          <w:rFonts w:ascii="inherit" w:eastAsia="Times New Roman" w:hAnsi="inherit" w:cs="Arial"/>
          <w:b/>
          <w:bCs/>
          <w:i/>
          <w:iCs/>
          <w:color w:val="222222"/>
          <w:sz w:val="21"/>
          <w:szCs w:val="21"/>
          <w:bdr w:val="none" w:sz="0" w:space="0" w:color="auto" w:frame="1"/>
          <w:lang w:eastAsia="tr-TR"/>
        </w:rPr>
        <w:t>Insufficiency:</w:t>
      </w:r>
      <w:r w:rsidRPr="0045530E">
        <w:rPr>
          <w:rFonts w:ascii="inherit" w:eastAsia="Times New Roman" w:hAnsi="inherit" w:cs="Arial"/>
          <w:color w:val="222222"/>
          <w:sz w:val="21"/>
          <w:szCs w:val="21"/>
          <w:lang w:eastAsia="tr-TR"/>
        </w:rPr>
        <w:t>A</w:t>
      </w:r>
      <w:proofErr w:type="gramEnd"/>
      <w:r w:rsidRPr="0045530E">
        <w:rPr>
          <w:rFonts w:ascii="inherit" w:eastAsia="Times New Roman" w:hAnsi="inherit" w:cs="Arial"/>
          <w:color w:val="222222"/>
          <w:sz w:val="21"/>
          <w:szCs w:val="21"/>
          <w:lang w:eastAsia="tr-TR"/>
        </w:rPr>
        <w:t xml:space="preserve"> pharmacokinetic study in subjects with mild (Child-Pugh Class A) and moderate (Child-Pugh Class B) hepatic impairment has shown that steady-state celecoxib AUC is increased about 40% and 180%, respectively, above that seen in healthy control subjects. Therefore, the daily recommended dose of celecoxib capsules should be reduced by approximately 50% in patients with moderate (Child-Pugh Class B) hepatic impairment. Patients with severe hepatic impairment (Child-Pugh Class C) have not been studied. The use of celecoxib in patients with severe hepatic impairment is not recommended </w:t>
      </w:r>
      <w:r w:rsidRPr="0045530E">
        <w:rPr>
          <w:rFonts w:ascii="inherit" w:eastAsia="Times New Roman" w:hAnsi="inherit" w:cs="Arial"/>
          <w:i/>
          <w:iCs/>
          <w:color w:val="222222"/>
          <w:sz w:val="21"/>
          <w:szCs w:val="21"/>
          <w:bdr w:val="none" w:sz="0" w:space="0" w:color="auto" w:frame="1"/>
          <w:lang w:eastAsia="tr-TR"/>
        </w:rPr>
        <w:t>[see Dosage and Administration (</w:t>
      </w:r>
      <w:proofErr w:type="gramStart"/>
      <w:r w:rsidRPr="0045530E">
        <w:rPr>
          <w:rFonts w:ascii="inherit" w:eastAsia="Times New Roman" w:hAnsi="inherit" w:cs="Arial"/>
          <w:i/>
          <w:iCs/>
          <w:color w:val="222222"/>
          <w:sz w:val="21"/>
          <w:szCs w:val="21"/>
          <w:bdr w:val="none" w:sz="0" w:space="0" w:color="auto" w:frame="1"/>
          <w:lang w:eastAsia="tr-TR"/>
        </w:rPr>
        <w:t>2.6</w:t>
      </w:r>
      <w:proofErr w:type="gramEnd"/>
      <w:r w:rsidRPr="0045530E">
        <w:rPr>
          <w:rFonts w:ascii="inherit" w:eastAsia="Times New Roman" w:hAnsi="inherit" w:cs="Arial"/>
          <w:i/>
          <w:iCs/>
          <w:color w:val="222222"/>
          <w:sz w:val="21"/>
          <w:szCs w:val="21"/>
          <w:bdr w:val="none" w:sz="0" w:space="0" w:color="auto" w:frame="1"/>
          <w:lang w:eastAsia="tr-TR"/>
        </w:rPr>
        <w:t>) and Use in Specific Populations (8.6)].</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i/>
          <w:iCs/>
          <w:color w:val="222222"/>
          <w:sz w:val="21"/>
          <w:szCs w:val="21"/>
          <w:bdr w:val="none" w:sz="0" w:space="0" w:color="auto" w:frame="1"/>
          <w:lang w:eastAsia="tr-TR"/>
        </w:rPr>
        <w:t xml:space="preserve">Renal </w:t>
      </w:r>
      <w:proofErr w:type="gramStart"/>
      <w:r w:rsidRPr="0045530E">
        <w:rPr>
          <w:rFonts w:ascii="inherit" w:eastAsia="Times New Roman" w:hAnsi="inherit" w:cs="Arial"/>
          <w:b/>
          <w:bCs/>
          <w:i/>
          <w:iCs/>
          <w:color w:val="222222"/>
          <w:sz w:val="21"/>
          <w:szCs w:val="21"/>
          <w:bdr w:val="none" w:sz="0" w:space="0" w:color="auto" w:frame="1"/>
          <w:lang w:eastAsia="tr-TR"/>
        </w:rPr>
        <w:t>Insufficiency:</w:t>
      </w:r>
      <w:r w:rsidRPr="0045530E">
        <w:rPr>
          <w:rFonts w:ascii="inherit" w:eastAsia="Times New Roman" w:hAnsi="inherit" w:cs="Arial"/>
          <w:color w:val="222222"/>
          <w:sz w:val="21"/>
          <w:szCs w:val="21"/>
          <w:lang w:eastAsia="tr-TR"/>
        </w:rPr>
        <w:t>In</w:t>
      </w:r>
      <w:proofErr w:type="gramEnd"/>
      <w:r w:rsidRPr="0045530E">
        <w:rPr>
          <w:rFonts w:ascii="inherit" w:eastAsia="Times New Roman" w:hAnsi="inherit" w:cs="Arial"/>
          <w:color w:val="222222"/>
          <w:sz w:val="21"/>
          <w:szCs w:val="21"/>
          <w:lang w:eastAsia="tr-TR"/>
        </w:rPr>
        <w:t xml:space="preserve"> a cross-study comparison, celecoxib AUC was approximately 40% lower in patients with chronic renal insufficiency (GFR 35 to 60 mL/min) than that seen in subjects with normal renal function. No significant relationship was found between GFR and celecoxib clearance. Patients with severe renal insufficiency have not been studied. Similar to other NSAIDs, celecoxib is not recommended in patients with severe renal insufficiency</w:t>
      </w:r>
      <w:r w:rsidRPr="0045530E">
        <w:rPr>
          <w:rFonts w:ascii="inherit" w:eastAsia="Times New Roman" w:hAnsi="inherit" w:cs="Arial"/>
          <w:i/>
          <w:iCs/>
          <w:color w:val="222222"/>
          <w:sz w:val="21"/>
          <w:szCs w:val="21"/>
          <w:bdr w:val="none" w:sz="0" w:space="0" w:color="auto" w:frame="1"/>
          <w:lang w:eastAsia="tr-TR"/>
        </w:rPr>
        <w:t> [see Warnings and Precautions (</w:t>
      </w:r>
      <w:proofErr w:type="gramStart"/>
      <w:r w:rsidRPr="0045530E">
        <w:rPr>
          <w:rFonts w:ascii="inherit" w:eastAsia="Times New Roman" w:hAnsi="inherit" w:cs="Arial"/>
          <w:i/>
          <w:iCs/>
          <w:color w:val="222222"/>
          <w:sz w:val="21"/>
          <w:szCs w:val="21"/>
          <w:bdr w:val="none" w:sz="0" w:space="0" w:color="auto" w:frame="1"/>
          <w:lang w:eastAsia="tr-TR"/>
        </w:rPr>
        <w:t>5.6</w:t>
      </w:r>
      <w:proofErr w:type="gramEnd"/>
      <w:r w:rsidRPr="0045530E">
        <w:rPr>
          <w:rFonts w:ascii="inherit" w:eastAsia="Times New Roman" w:hAnsi="inherit" w:cs="Arial"/>
          <w:i/>
          <w:iCs/>
          <w:color w:val="222222"/>
          <w:sz w:val="21"/>
          <w:szCs w:val="21"/>
          <w:bdr w:val="none" w:sz="0" w:space="0" w:color="auto" w:frame="1"/>
          <w:lang w:eastAsia="tr-TR"/>
        </w:rPr>
        <w:t>)].</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i/>
          <w:iCs/>
          <w:color w:val="222222"/>
          <w:sz w:val="21"/>
          <w:szCs w:val="21"/>
          <w:bdr w:val="none" w:sz="0" w:space="0" w:color="auto" w:frame="1"/>
          <w:lang w:eastAsia="tr-TR"/>
        </w:rPr>
        <w:t>Drug interactions:</w:t>
      </w:r>
      <w:r w:rsidRPr="0045530E">
        <w:rPr>
          <w:rFonts w:ascii="inherit" w:eastAsia="Times New Roman" w:hAnsi="inherit" w:cs="Arial"/>
          <w:color w:val="222222"/>
          <w:sz w:val="21"/>
          <w:szCs w:val="21"/>
          <w:lang w:eastAsia="tr-TR"/>
        </w:rPr>
        <w:t> In vitro studies indicate that celecoxib is not an inhibitor of cytochrome P450 2C9, 2C19 or 3A4. In vivo studies have shown the following:</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proofErr w:type="gramStart"/>
      <w:r w:rsidRPr="0045530E">
        <w:rPr>
          <w:rFonts w:ascii="inherit" w:eastAsia="Times New Roman" w:hAnsi="inherit" w:cs="Arial"/>
          <w:b/>
          <w:bCs/>
          <w:i/>
          <w:iCs/>
          <w:color w:val="222222"/>
          <w:sz w:val="21"/>
          <w:szCs w:val="21"/>
          <w:bdr w:val="none" w:sz="0" w:space="0" w:color="auto" w:frame="1"/>
          <w:lang w:eastAsia="tr-TR"/>
        </w:rPr>
        <w:t>Lithium:</w:t>
      </w:r>
      <w:r w:rsidRPr="0045530E">
        <w:rPr>
          <w:rFonts w:ascii="inherit" w:eastAsia="Times New Roman" w:hAnsi="inherit" w:cs="Arial"/>
          <w:color w:val="222222"/>
          <w:sz w:val="21"/>
          <w:szCs w:val="21"/>
          <w:lang w:eastAsia="tr-TR"/>
        </w:rPr>
        <w:t>In</w:t>
      </w:r>
      <w:proofErr w:type="gramEnd"/>
      <w:r w:rsidRPr="0045530E">
        <w:rPr>
          <w:rFonts w:ascii="inherit" w:eastAsia="Times New Roman" w:hAnsi="inherit" w:cs="Arial"/>
          <w:color w:val="222222"/>
          <w:sz w:val="21"/>
          <w:szCs w:val="21"/>
          <w:lang w:eastAsia="tr-TR"/>
        </w:rPr>
        <w:t xml:space="preserve"> a study conducted in healthy subjects, mean steady-state lithium plasma levels increased approximately 17% in subjects receiving lithium 450 mg twice daily with celecoxib 200 mg twice daily as compared to subjects receiving lithium alone </w:t>
      </w:r>
      <w:r w:rsidRPr="0045530E">
        <w:rPr>
          <w:rFonts w:ascii="inherit" w:eastAsia="Times New Roman" w:hAnsi="inherit" w:cs="Arial"/>
          <w:i/>
          <w:iCs/>
          <w:color w:val="222222"/>
          <w:sz w:val="21"/>
          <w:szCs w:val="21"/>
          <w:bdr w:val="none" w:sz="0" w:space="0" w:color="auto" w:frame="1"/>
          <w:lang w:eastAsia="tr-TR"/>
        </w:rPr>
        <w:t>[see Drug Interactions (7.2)].</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i/>
          <w:iCs/>
          <w:color w:val="222222"/>
          <w:sz w:val="21"/>
          <w:szCs w:val="21"/>
          <w:bdr w:val="none" w:sz="0" w:space="0" w:color="auto" w:frame="1"/>
          <w:lang w:eastAsia="tr-TR"/>
        </w:rPr>
        <w:t>Fluconazole:</w:t>
      </w:r>
      <w:r w:rsidRPr="0045530E">
        <w:rPr>
          <w:rFonts w:ascii="inherit" w:eastAsia="Times New Roman" w:hAnsi="inherit" w:cs="Arial"/>
          <w:color w:val="222222"/>
          <w:sz w:val="21"/>
          <w:szCs w:val="21"/>
          <w:lang w:eastAsia="tr-TR"/>
        </w:rPr>
        <w:t> Concomitant administration of fluconazole at 200 mg once daily resulted in a two-fold increase in celecoxib plasma concentration. This increase is due to the inhibition of celecoxib metabolism via P450 2C9 by fluconazole </w:t>
      </w:r>
      <w:r w:rsidRPr="0045530E">
        <w:rPr>
          <w:rFonts w:ascii="inherit" w:eastAsia="Times New Roman" w:hAnsi="inherit" w:cs="Arial"/>
          <w:i/>
          <w:iCs/>
          <w:color w:val="222222"/>
          <w:sz w:val="21"/>
          <w:szCs w:val="21"/>
          <w:bdr w:val="none" w:sz="0" w:space="0" w:color="auto" w:frame="1"/>
          <w:lang w:eastAsia="tr-TR"/>
        </w:rPr>
        <w:t>[see Drug Interactions (</w:t>
      </w:r>
      <w:proofErr w:type="gramStart"/>
      <w:r w:rsidRPr="0045530E">
        <w:rPr>
          <w:rFonts w:ascii="inherit" w:eastAsia="Times New Roman" w:hAnsi="inherit" w:cs="Arial"/>
          <w:i/>
          <w:iCs/>
          <w:color w:val="222222"/>
          <w:sz w:val="21"/>
          <w:szCs w:val="21"/>
          <w:bdr w:val="none" w:sz="0" w:space="0" w:color="auto" w:frame="1"/>
          <w:lang w:eastAsia="tr-TR"/>
        </w:rPr>
        <w:t>7.5</w:t>
      </w:r>
      <w:proofErr w:type="gramEnd"/>
      <w:r w:rsidRPr="0045530E">
        <w:rPr>
          <w:rFonts w:ascii="inherit" w:eastAsia="Times New Roman" w:hAnsi="inherit" w:cs="Arial"/>
          <w:i/>
          <w:iCs/>
          <w:color w:val="222222"/>
          <w:sz w:val="21"/>
          <w:szCs w:val="21"/>
          <w:bdr w:val="none" w:sz="0" w:space="0" w:color="auto" w:frame="1"/>
          <w:lang w:eastAsia="tr-TR"/>
        </w:rPr>
        <w:t>)].</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i/>
          <w:iCs/>
          <w:color w:val="222222"/>
          <w:sz w:val="21"/>
          <w:szCs w:val="21"/>
          <w:bdr w:val="none" w:sz="0" w:space="0" w:color="auto" w:frame="1"/>
          <w:lang w:eastAsia="tr-TR"/>
        </w:rPr>
        <w:t xml:space="preserve">Other </w:t>
      </w:r>
      <w:proofErr w:type="gramStart"/>
      <w:r w:rsidRPr="0045530E">
        <w:rPr>
          <w:rFonts w:ascii="inherit" w:eastAsia="Times New Roman" w:hAnsi="inherit" w:cs="Arial"/>
          <w:b/>
          <w:bCs/>
          <w:i/>
          <w:iCs/>
          <w:color w:val="222222"/>
          <w:sz w:val="21"/>
          <w:szCs w:val="21"/>
          <w:bdr w:val="none" w:sz="0" w:space="0" w:color="auto" w:frame="1"/>
          <w:lang w:eastAsia="tr-TR"/>
        </w:rPr>
        <w:t>Drugs:</w:t>
      </w:r>
      <w:r w:rsidRPr="0045530E">
        <w:rPr>
          <w:rFonts w:ascii="inherit" w:eastAsia="Times New Roman" w:hAnsi="inherit" w:cs="Arial"/>
          <w:color w:val="222222"/>
          <w:sz w:val="21"/>
          <w:szCs w:val="21"/>
          <w:lang w:eastAsia="tr-TR"/>
        </w:rPr>
        <w:t>The</w:t>
      </w:r>
      <w:proofErr w:type="gramEnd"/>
      <w:r w:rsidRPr="0045530E">
        <w:rPr>
          <w:rFonts w:ascii="inherit" w:eastAsia="Times New Roman" w:hAnsi="inherit" w:cs="Arial"/>
          <w:color w:val="222222"/>
          <w:sz w:val="21"/>
          <w:szCs w:val="21"/>
          <w:lang w:eastAsia="tr-TR"/>
        </w:rPr>
        <w:t xml:space="preserve"> effects of celecoxib on the pharmacokinetics and/or pharmacodynamics of glyburide, ketoconazole, methotrexate [see Drug Interactions (7.7)], phenytoin, and tolbutamide have been studied in vivo and clinically important interactions have not been found.</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129" w:name="L4a2e3096-033e-4625-92d9-0bc176c608d7"/>
      <w:bookmarkStart w:id="130" w:name="section-11.4"/>
      <w:bookmarkEnd w:id="129"/>
      <w:bookmarkEnd w:id="130"/>
      <w:r w:rsidRPr="0045530E">
        <w:rPr>
          <w:rFonts w:ascii="inherit" w:eastAsia="Times New Roman" w:hAnsi="inherit" w:cs="Arial"/>
          <w:b/>
          <w:bCs/>
          <w:color w:val="222222"/>
          <w:sz w:val="36"/>
          <w:szCs w:val="36"/>
          <w:lang w:eastAsia="tr-TR"/>
        </w:rPr>
        <w:t>12.5 Pharmacogenomics</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 xml:space="preserve">CYP2C9 activity is reduced in individuals with genetic polymorphisms that lead to reduced enzyme activity, such as those homozygous for the CYP2C9*2 and CYP2C9*3 polymorphisms. Limited </w:t>
      </w:r>
      <w:proofErr w:type="gramStart"/>
      <w:r w:rsidRPr="0045530E">
        <w:rPr>
          <w:rFonts w:ascii="inherit" w:eastAsia="Times New Roman" w:hAnsi="inherit" w:cs="Arial"/>
          <w:color w:val="222222"/>
          <w:sz w:val="21"/>
          <w:szCs w:val="21"/>
          <w:lang w:eastAsia="tr-TR"/>
        </w:rPr>
        <w:t>data</w:t>
      </w:r>
      <w:proofErr w:type="gramEnd"/>
      <w:r w:rsidRPr="0045530E">
        <w:rPr>
          <w:rFonts w:ascii="inherit" w:eastAsia="Times New Roman" w:hAnsi="inherit" w:cs="Arial"/>
          <w:color w:val="222222"/>
          <w:sz w:val="21"/>
          <w:szCs w:val="21"/>
          <w:lang w:eastAsia="tr-TR"/>
        </w:rPr>
        <w:t xml:space="preserve"> from 4 published reports that included a total of 8 subjects with the homozygous CYP2C9*3/*3 genotype showed celecoxib systemic levels that were 3- to 7fold higher in these subjects compared to subjects with CYP2C9*1/*1 or *I/*3 genotypes. The pharmacokinetics of celecoxib have not been evaluated in subjects with other CYP2C9 polymorphisms, such as *2, *5, *6, *9 and *11. It is estimated that the frequency of the homozygous *3/ *3 genotype is </w:t>
      </w:r>
      <w:proofErr w:type="gramStart"/>
      <w:r w:rsidRPr="0045530E">
        <w:rPr>
          <w:rFonts w:ascii="inherit" w:eastAsia="Times New Roman" w:hAnsi="inherit" w:cs="Arial"/>
          <w:color w:val="222222"/>
          <w:sz w:val="21"/>
          <w:szCs w:val="21"/>
          <w:lang w:eastAsia="tr-TR"/>
        </w:rPr>
        <w:t>0.3</w:t>
      </w:r>
      <w:proofErr w:type="gramEnd"/>
      <w:r w:rsidRPr="0045530E">
        <w:rPr>
          <w:rFonts w:ascii="inherit" w:eastAsia="Times New Roman" w:hAnsi="inherit" w:cs="Arial"/>
          <w:color w:val="222222"/>
          <w:sz w:val="21"/>
          <w:szCs w:val="21"/>
          <w:lang w:eastAsia="tr-TR"/>
        </w:rPr>
        <w:t>% to 1% in various ethnic groups. </w:t>
      </w:r>
      <w:r w:rsidRPr="0045530E">
        <w:rPr>
          <w:rFonts w:ascii="inherit" w:eastAsia="Times New Roman" w:hAnsi="inherit" w:cs="Arial"/>
          <w:i/>
          <w:iCs/>
          <w:color w:val="222222"/>
          <w:sz w:val="21"/>
          <w:szCs w:val="21"/>
          <w:bdr w:val="none" w:sz="0" w:space="0" w:color="auto" w:frame="1"/>
          <w:lang w:eastAsia="tr-TR"/>
        </w:rPr>
        <w:t>[see Dosage and Administration (</w:t>
      </w:r>
      <w:proofErr w:type="gramStart"/>
      <w:r w:rsidRPr="0045530E">
        <w:rPr>
          <w:rFonts w:ascii="inherit" w:eastAsia="Times New Roman" w:hAnsi="inherit" w:cs="Arial"/>
          <w:i/>
          <w:iCs/>
          <w:color w:val="222222"/>
          <w:sz w:val="21"/>
          <w:szCs w:val="21"/>
          <w:bdr w:val="none" w:sz="0" w:space="0" w:color="auto" w:frame="1"/>
          <w:lang w:eastAsia="tr-TR"/>
        </w:rPr>
        <w:t>2.6</w:t>
      </w:r>
      <w:proofErr w:type="gramEnd"/>
      <w:r w:rsidRPr="0045530E">
        <w:rPr>
          <w:rFonts w:ascii="inherit" w:eastAsia="Times New Roman" w:hAnsi="inherit" w:cs="Arial"/>
          <w:i/>
          <w:iCs/>
          <w:color w:val="222222"/>
          <w:sz w:val="21"/>
          <w:szCs w:val="21"/>
          <w:bdr w:val="none" w:sz="0" w:space="0" w:color="auto" w:frame="1"/>
          <w:lang w:eastAsia="tr-TR"/>
        </w:rPr>
        <w:t>), Use in Specific Populations (8.8)].</w:t>
      </w:r>
    </w:p>
    <w:p w:rsidR="0045530E" w:rsidRPr="0045530E" w:rsidRDefault="0045530E" w:rsidP="0045530E">
      <w:pPr>
        <w:shd w:val="clear" w:color="auto" w:fill="FFFFFF"/>
        <w:spacing w:after="75" w:line="240" w:lineRule="auto"/>
        <w:ind w:left="450"/>
        <w:textAlignment w:val="baseline"/>
        <w:rPr>
          <w:rFonts w:ascii="inherit" w:eastAsia="Times New Roman" w:hAnsi="inherit" w:cs="Arial"/>
          <w:color w:val="222222"/>
          <w:sz w:val="21"/>
          <w:szCs w:val="21"/>
          <w:lang w:eastAsia="tr-TR"/>
        </w:rPr>
      </w:pPr>
      <w:hyperlink r:id="rId159" w:history="1">
        <w:r w:rsidRPr="0045530E">
          <w:rPr>
            <w:rFonts w:ascii="Arial" w:eastAsia="Times New Roman" w:hAnsi="Arial" w:cs="Arial"/>
            <w:caps/>
            <w:color w:val="1D86BB"/>
            <w:sz w:val="18"/>
            <w:szCs w:val="18"/>
            <w:u w:val="single"/>
            <w:bdr w:val="none" w:sz="0" w:space="0" w:color="auto" w:frame="1"/>
            <w:lang w:eastAsia="tr-TR"/>
          </w:rPr>
          <w:t>CLOSE</w:t>
        </w:r>
      </w:hyperlink>
    </w:p>
    <w:p w:rsidR="0045530E" w:rsidRPr="0045530E" w:rsidRDefault="0045530E" w:rsidP="0045530E">
      <w:pPr>
        <w:numPr>
          <w:ilvl w:val="0"/>
          <w:numId w:val="9"/>
        </w:numPr>
        <w:shd w:val="clear" w:color="auto" w:fill="FFFFFF"/>
        <w:spacing w:after="0" w:line="240" w:lineRule="auto"/>
        <w:ind w:left="0"/>
        <w:textAlignment w:val="baseline"/>
        <w:rPr>
          <w:rFonts w:ascii="inherit" w:eastAsia="Times New Roman" w:hAnsi="inherit" w:cs="Arial"/>
          <w:color w:val="222222"/>
          <w:sz w:val="21"/>
          <w:szCs w:val="21"/>
          <w:lang w:eastAsia="tr-TR"/>
        </w:rPr>
      </w:pPr>
      <w:hyperlink r:id="rId160" w:history="1">
        <w:r w:rsidRPr="0045530E">
          <w:rPr>
            <w:rFonts w:ascii="Arial" w:eastAsia="Times New Roman" w:hAnsi="Arial" w:cs="Arial"/>
            <w:caps/>
            <w:color w:val="000000"/>
            <w:sz w:val="30"/>
            <w:szCs w:val="30"/>
            <w:u w:val="single"/>
            <w:bdr w:val="none" w:sz="0" w:space="0" w:color="auto" w:frame="1"/>
            <w:lang w:eastAsia="tr-TR"/>
          </w:rPr>
          <w:t>13. NONCLINICAL TOXICOLOGY</w:t>
        </w:r>
      </w:hyperlink>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131" w:name="Lf05d84c3-0257-49a7-9da8-b1a15999ff6a"/>
      <w:bookmarkStart w:id="132" w:name="section-12"/>
      <w:bookmarkStart w:id="133" w:name="L5453a649-234f-4ed5-b797-ba1c1036a0b2"/>
      <w:bookmarkStart w:id="134" w:name="section-12.1"/>
      <w:bookmarkEnd w:id="131"/>
      <w:bookmarkEnd w:id="132"/>
      <w:bookmarkEnd w:id="133"/>
      <w:bookmarkEnd w:id="134"/>
      <w:r w:rsidRPr="0045530E">
        <w:rPr>
          <w:rFonts w:ascii="inherit" w:eastAsia="Times New Roman" w:hAnsi="inherit" w:cs="Arial"/>
          <w:b/>
          <w:bCs/>
          <w:color w:val="222222"/>
          <w:sz w:val="36"/>
          <w:szCs w:val="36"/>
          <w:lang w:eastAsia="tr-TR"/>
        </w:rPr>
        <w:t>13.1 Carcinogenesis, Mutagenesis, Impairment of Fertility</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proofErr w:type="gramStart"/>
      <w:r w:rsidRPr="0045530E">
        <w:rPr>
          <w:rFonts w:ascii="inherit" w:eastAsia="Times New Roman" w:hAnsi="inherit" w:cs="Arial"/>
          <w:color w:val="222222"/>
          <w:sz w:val="21"/>
          <w:szCs w:val="21"/>
          <w:lang w:eastAsia="tr-TR"/>
        </w:rPr>
        <w:t>Celecoxib was not carcinogenic in rats given oral doses up to 200 mg/kg for males and 10 mg/kg for females (approximately 2-to 4-fold the human exposure as measured by the AUC</w:t>
      </w:r>
      <w:r w:rsidRPr="0045530E">
        <w:rPr>
          <w:rFonts w:ascii="inherit" w:eastAsia="Times New Roman" w:hAnsi="inherit" w:cs="Arial"/>
          <w:color w:val="222222"/>
          <w:sz w:val="17"/>
          <w:szCs w:val="17"/>
          <w:bdr w:val="none" w:sz="0" w:space="0" w:color="auto" w:frame="1"/>
          <w:lang w:eastAsia="tr-TR"/>
        </w:rPr>
        <w:t> 0 to 24</w:t>
      </w:r>
      <w:r w:rsidRPr="0045530E">
        <w:rPr>
          <w:rFonts w:ascii="inherit" w:eastAsia="Times New Roman" w:hAnsi="inherit" w:cs="Arial"/>
          <w:color w:val="222222"/>
          <w:sz w:val="21"/>
          <w:szCs w:val="21"/>
          <w:lang w:eastAsia="tr-TR"/>
        </w:rPr>
        <w:t>at 200 mg twice daily) or in mice given oral doses up to 25 mg/kg for males and 50 mg/kg for females (approximately equal to human exposure as measured by the AUC</w:t>
      </w:r>
      <w:r w:rsidRPr="0045530E">
        <w:rPr>
          <w:rFonts w:ascii="inherit" w:eastAsia="Times New Roman" w:hAnsi="inherit" w:cs="Arial"/>
          <w:color w:val="222222"/>
          <w:sz w:val="17"/>
          <w:szCs w:val="17"/>
          <w:bdr w:val="none" w:sz="0" w:space="0" w:color="auto" w:frame="1"/>
          <w:lang w:eastAsia="tr-TR"/>
        </w:rPr>
        <w:t>0 to 24</w:t>
      </w:r>
      <w:r w:rsidRPr="0045530E">
        <w:rPr>
          <w:rFonts w:ascii="inherit" w:eastAsia="Times New Roman" w:hAnsi="inherit" w:cs="Arial"/>
          <w:color w:val="222222"/>
          <w:sz w:val="21"/>
          <w:szCs w:val="21"/>
          <w:lang w:eastAsia="tr-TR"/>
        </w:rPr>
        <w:t xml:space="preserve"> at 200 mg twice daily) for two years. </w:t>
      </w:r>
      <w:proofErr w:type="gramEnd"/>
      <w:r w:rsidRPr="0045530E">
        <w:rPr>
          <w:rFonts w:ascii="inherit" w:eastAsia="Times New Roman" w:hAnsi="inherit" w:cs="Arial"/>
          <w:color w:val="222222"/>
          <w:sz w:val="21"/>
          <w:szCs w:val="21"/>
          <w:lang w:eastAsia="tr-TR"/>
        </w:rPr>
        <w:t>Celecoxib was not mutagenic in an Ames test and a mutation assay in Chinese hamster ovary (CHO) cells, nor clastogenic in a chromosome aberration assay in CHO cells and an in vivo micronucleus test in rat bone marrow. Celecoxib did not impair male and female fertility in rats at oral doses up to 600 mg/kg/day (approximately 11-fold human exposure at 200 mg twice daily based on the AUC</w:t>
      </w:r>
      <w:r w:rsidRPr="0045530E">
        <w:rPr>
          <w:rFonts w:ascii="inherit" w:eastAsia="Times New Roman" w:hAnsi="inherit" w:cs="Arial"/>
          <w:color w:val="222222"/>
          <w:sz w:val="17"/>
          <w:szCs w:val="17"/>
          <w:bdr w:val="none" w:sz="0" w:space="0" w:color="auto" w:frame="1"/>
          <w:lang w:eastAsia="tr-TR"/>
        </w:rPr>
        <w:t>0 to 24</w:t>
      </w:r>
      <w:r w:rsidRPr="0045530E">
        <w:rPr>
          <w:rFonts w:ascii="inherit" w:eastAsia="Times New Roman" w:hAnsi="inherit" w:cs="Arial"/>
          <w:color w:val="222222"/>
          <w:sz w:val="21"/>
          <w:szCs w:val="21"/>
          <w:lang w:eastAsia="tr-TR"/>
        </w:rPr>
        <w:t>).</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135" w:name="L6e1fe721-9eec-4dfc-8aec-ae7d9075a49d"/>
      <w:bookmarkStart w:id="136" w:name="section-12.2"/>
      <w:bookmarkEnd w:id="135"/>
      <w:bookmarkEnd w:id="136"/>
      <w:r w:rsidRPr="0045530E">
        <w:rPr>
          <w:rFonts w:ascii="inherit" w:eastAsia="Times New Roman" w:hAnsi="inherit" w:cs="Arial"/>
          <w:b/>
          <w:bCs/>
          <w:color w:val="222222"/>
          <w:sz w:val="36"/>
          <w:szCs w:val="36"/>
          <w:lang w:eastAsia="tr-TR"/>
        </w:rPr>
        <w:t>13.2 Animal Toxicology</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 xml:space="preserve">An increase in the incidence of </w:t>
      </w:r>
      <w:proofErr w:type="gramStart"/>
      <w:r w:rsidRPr="0045530E">
        <w:rPr>
          <w:rFonts w:ascii="inherit" w:eastAsia="Times New Roman" w:hAnsi="inherit" w:cs="Arial"/>
          <w:color w:val="222222"/>
          <w:sz w:val="21"/>
          <w:szCs w:val="21"/>
          <w:lang w:eastAsia="tr-TR"/>
        </w:rPr>
        <w:t>background</w:t>
      </w:r>
      <w:proofErr w:type="gramEnd"/>
      <w:r w:rsidRPr="0045530E">
        <w:rPr>
          <w:rFonts w:ascii="inherit" w:eastAsia="Times New Roman" w:hAnsi="inherit" w:cs="Arial"/>
          <w:color w:val="222222"/>
          <w:sz w:val="21"/>
          <w:szCs w:val="21"/>
          <w:lang w:eastAsia="tr-TR"/>
        </w:rPr>
        <w:t xml:space="preserve"> findings of spermatocele with or without secondary changes such as epididymal hypospermia as well as minimal to slight dilation of the seminiferous tubules was seen in the juvenile rat. These reproductive findings while apparently treatment-related did not increase in incidence or severity with dose and may indicate an exacerbation of a spontaneous condition. Similar reproductive findings were not observed in studies of juvenile or adult dogs or in adult rats treated with celecoxib. The clinical significance of this observation is unknown.</w:t>
      </w:r>
    </w:p>
    <w:p w:rsidR="0045530E" w:rsidRPr="0045530E" w:rsidRDefault="0045530E" w:rsidP="0045530E">
      <w:pPr>
        <w:shd w:val="clear" w:color="auto" w:fill="FFFFFF"/>
        <w:spacing w:after="75" w:line="240" w:lineRule="auto"/>
        <w:ind w:left="450"/>
        <w:textAlignment w:val="baseline"/>
        <w:rPr>
          <w:rFonts w:ascii="inherit" w:eastAsia="Times New Roman" w:hAnsi="inherit" w:cs="Arial"/>
          <w:color w:val="222222"/>
          <w:sz w:val="21"/>
          <w:szCs w:val="21"/>
          <w:lang w:eastAsia="tr-TR"/>
        </w:rPr>
      </w:pPr>
      <w:hyperlink r:id="rId161" w:history="1">
        <w:r w:rsidRPr="0045530E">
          <w:rPr>
            <w:rFonts w:ascii="Arial" w:eastAsia="Times New Roman" w:hAnsi="Arial" w:cs="Arial"/>
            <w:caps/>
            <w:color w:val="1D86BB"/>
            <w:sz w:val="18"/>
            <w:szCs w:val="18"/>
            <w:u w:val="single"/>
            <w:bdr w:val="none" w:sz="0" w:space="0" w:color="auto" w:frame="1"/>
            <w:lang w:eastAsia="tr-TR"/>
          </w:rPr>
          <w:t>CLOSE</w:t>
        </w:r>
      </w:hyperlink>
    </w:p>
    <w:p w:rsidR="0045530E" w:rsidRPr="0045530E" w:rsidRDefault="0045530E" w:rsidP="0045530E">
      <w:pPr>
        <w:numPr>
          <w:ilvl w:val="0"/>
          <w:numId w:val="9"/>
        </w:numPr>
        <w:shd w:val="clear" w:color="auto" w:fill="FFFFFF"/>
        <w:spacing w:after="0" w:line="240" w:lineRule="auto"/>
        <w:ind w:left="0"/>
        <w:textAlignment w:val="baseline"/>
        <w:rPr>
          <w:rFonts w:ascii="inherit" w:eastAsia="Times New Roman" w:hAnsi="inherit" w:cs="Arial"/>
          <w:color w:val="222222"/>
          <w:sz w:val="21"/>
          <w:szCs w:val="21"/>
          <w:lang w:eastAsia="tr-TR"/>
        </w:rPr>
      </w:pPr>
      <w:hyperlink r:id="rId162" w:history="1">
        <w:r w:rsidRPr="0045530E">
          <w:rPr>
            <w:rFonts w:ascii="Arial" w:eastAsia="Times New Roman" w:hAnsi="Arial" w:cs="Arial"/>
            <w:caps/>
            <w:color w:val="000000"/>
            <w:sz w:val="30"/>
            <w:szCs w:val="30"/>
            <w:u w:val="single"/>
            <w:bdr w:val="none" w:sz="0" w:space="0" w:color="auto" w:frame="1"/>
            <w:lang w:eastAsia="tr-TR"/>
          </w:rPr>
          <w:t>14. CLINICAL STUDIES</w:t>
        </w:r>
      </w:hyperlink>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137" w:name="L3d4b0277-5327-4146-bcae-2271f852d3f1"/>
      <w:bookmarkStart w:id="138" w:name="section-13"/>
      <w:bookmarkStart w:id="139" w:name="L38bfd7c6-77b2-4e33-abfc-88838495b056"/>
      <w:bookmarkStart w:id="140" w:name="section-13.1"/>
      <w:bookmarkEnd w:id="137"/>
      <w:bookmarkEnd w:id="138"/>
      <w:bookmarkEnd w:id="139"/>
      <w:bookmarkEnd w:id="140"/>
      <w:r w:rsidRPr="0045530E">
        <w:rPr>
          <w:rFonts w:ascii="inherit" w:eastAsia="Times New Roman" w:hAnsi="inherit" w:cs="Arial"/>
          <w:b/>
          <w:bCs/>
          <w:color w:val="222222"/>
          <w:sz w:val="36"/>
          <w:szCs w:val="36"/>
          <w:lang w:eastAsia="tr-TR"/>
        </w:rPr>
        <w:t>14.1 Osteoarthritis</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Celecoxib has demonstrated significant reduction in joint pain compared to placebo. Celecoxib was evaluated for treatment of the signs and the symptoms of OA of the knee and hip in placebo- and active-controlled clinical trials of up to 12 weeks duration. In patients with OA, treatment with celecoxib 100 mg twice daily or 200 mg once daily resulted in improvement in WOMAC (Western Ontario and McMaster Universities) osteoarthritis index, a composite of pain, stiffness, and functional measures in OA. In three 12-week studies of pain accompanying OA flare, celecoxib doses of 100 mg twice daily and 200 mg twice daily provided significant reduction of pain within 24 to 48 hours of initiation of dosing. At doses of 100 mg twice daily or 200 mg twice daily the effectiveness of celecoxib was shown to be similar to that of naproxen 500 mg twice daily. Doses of 200 mg twice daily provided no additional benefit above that seen with 100 mg twice daily. A total daily dose of 200 mg has been shown to be equally effective whether administered as 100 mg twice daily or 200 mg once daily.</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141" w:name="Ld163950c-8cd2-4bc7-94b8-8d509d8e18bd"/>
      <w:bookmarkStart w:id="142" w:name="section-13.2"/>
      <w:bookmarkEnd w:id="141"/>
      <w:bookmarkEnd w:id="142"/>
      <w:r w:rsidRPr="0045530E">
        <w:rPr>
          <w:rFonts w:ascii="inherit" w:eastAsia="Times New Roman" w:hAnsi="inherit" w:cs="Arial"/>
          <w:b/>
          <w:bCs/>
          <w:color w:val="222222"/>
          <w:sz w:val="36"/>
          <w:szCs w:val="36"/>
          <w:lang w:eastAsia="tr-TR"/>
        </w:rPr>
        <w:t>14.2 Rheumatoid Arthritis</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Celecoxib has demonstrated significant reduction in joint tenderness/pain and joint swelling compared to placebo. Celecoxib was evaluated for treatment of the signs and symptoms of RA in placebo- and active-controlled clinical trials of up to 24 weeks in duration. Celecoxib was shown to be superior to placebo in these studies, using the ACR20 Responder Index, a composite of clinical, laboratory, and functional measures in RA. Celecoxib doses of 100 mg twice daily and 200 mg twice daily were similar in effectiveness and both were comparable to naproxen 500 mg twice daily.</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Although celecoxib 100 mg twice daily and 200 mg twice daily provided similar overall effectiveness, some patients derived additional benefit from the 200 mg twice daily dose. Doses of 400 mg twice daily provided no additional benefit above that seen with 100 to 200 mg twice daily.</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143" w:name="L33712618-41ff-46aa-8990-d7e9b3cd6751"/>
      <w:bookmarkStart w:id="144" w:name="section-13.3"/>
      <w:bookmarkEnd w:id="143"/>
      <w:bookmarkEnd w:id="144"/>
      <w:r w:rsidRPr="0045530E">
        <w:rPr>
          <w:rFonts w:ascii="inherit" w:eastAsia="Times New Roman" w:hAnsi="inherit" w:cs="Arial"/>
          <w:b/>
          <w:bCs/>
          <w:color w:val="222222"/>
          <w:sz w:val="36"/>
          <w:szCs w:val="36"/>
          <w:lang w:eastAsia="tr-TR"/>
        </w:rPr>
        <w:t>14.3 Juvenile Rheumatoid Arthritis</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 xml:space="preserve">In a 12-week, randomized, double-blind active-controlled, parallel-group, multicenter, noninferiority study, patients from 2 years to 17 years of age with pauciarticular, polyarticular course JRA or systemic onset JRA (with currently inactive systemic features), received one of the following treatments: celecoxib 3 mg/kg (to a maximum of 150 mg) twice daily; celecoxib 6 mg/kg (to a maximum of 300 mg) twice daily; or naproxen </w:t>
      </w:r>
      <w:proofErr w:type="gramStart"/>
      <w:r w:rsidRPr="0045530E">
        <w:rPr>
          <w:rFonts w:ascii="inherit" w:eastAsia="Times New Roman" w:hAnsi="inherit" w:cs="Arial"/>
          <w:color w:val="222222"/>
          <w:sz w:val="21"/>
          <w:szCs w:val="21"/>
          <w:lang w:eastAsia="tr-TR"/>
        </w:rPr>
        <w:t>7.5</w:t>
      </w:r>
      <w:proofErr w:type="gramEnd"/>
      <w:r w:rsidRPr="0045530E">
        <w:rPr>
          <w:rFonts w:ascii="inherit" w:eastAsia="Times New Roman" w:hAnsi="inherit" w:cs="Arial"/>
          <w:color w:val="222222"/>
          <w:sz w:val="21"/>
          <w:szCs w:val="21"/>
          <w:lang w:eastAsia="tr-TR"/>
        </w:rPr>
        <w:t xml:space="preserve"> mg/kg (to a maximum of 500 mg) twice daily. The response rates were based upon the JRA Definition of Improvement greater than or equal to 30% (JRA DOI 30) criterion, which is a composite of clinical, laboratory, and functional measures of JRA. The JRA DOI 30 response rates at week 12 were 69%, 80% and 67% in the celecoxib 3 mg/kg BID, celecoxib 6 mg/kg BID, and naproxen </w:t>
      </w:r>
      <w:proofErr w:type="gramStart"/>
      <w:r w:rsidRPr="0045530E">
        <w:rPr>
          <w:rFonts w:ascii="inherit" w:eastAsia="Times New Roman" w:hAnsi="inherit" w:cs="Arial"/>
          <w:color w:val="222222"/>
          <w:sz w:val="21"/>
          <w:szCs w:val="21"/>
          <w:lang w:eastAsia="tr-TR"/>
        </w:rPr>
        <w:t>7.5</w:t>
      </w:r>
      <w:proofErr w:type="gramEnd"/>
      <w:r w:rsidRPr="0045530E">
        <w:rPr>
          <w:rFonts w:ascii="inherit" w:eastAsia="Times New Roman" w:hAnsi="inherit" w:cs="Arial"/>
          <w:color w:val="222222"/>
          <w:sz w:val="21"/>
          <w:szCs w:val="21"/>
          <w:lang w:eastAsia="tr-TR"/>
        </w:rPr>
        <w:t xml:space="preserve"> mg/kg BID treatment groups, respectively.</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The efficacy and safety of celecoxib for JRA have not been studied beyond six months. The long-term cardiovascular toxicity in children exposed to celecoxib has not been evaluated and it is unknown if the long-term risk may be similar to that seen in adults exposed to celecoxib or other COX-2 selective and non-selective NSAIDs </w:t>
      </w:r>
      <w:r w:rsidRPr="0045530E">
        <w:rPr>
          <w:rFonts w:ascii="inherit" w:eastAsia="Times New Roman" w:hAnsi="inherit" w:cs="Arial"/>
          <w:i/>
          <w:iCs/>
          <w:color w:val="222222"/>
          <w:sz w:val="21"/>
          <w:szCs w:val="21"/>
          <w:bdr w:val="none" w:sz="0" w:space="0" w:color="auto" w:frame="1"/>
          <w:lang w:eastAsia="tr-TR"/>
        </w:rPr>
        <w:t>[</w:t>
      </w:r>
      <w:proofErr w:type="gramStart"/>
      <w:r w:rsidRPr="0045530E">
        <w:rPr>
          <w:rFonts w:ascii="inherit" w:eastAsia="Times New Roman" w:hAnsi="inherit" w:cs="Arial"/>
          <w:i/>
          <w:iCs/>
          <w:color w:val="222222"/>
          <w:sz w:val="21"/>
          <w:szCs w:val="21"/>
          <w:bdr w:val="none" w:sz="0" w:space="0" w:color="auto" w:frame="1"/>
          <w:lang w:eastAsia="tr-TR"/>
        </w:rPr>
        <w:t>(</w:t>
      </w:r>
      <w:proofErr w:type="gramEnd"/>
      <w:r w:rsidRPr="0045530E">
        <w:rPr>
          <w:rFonts w:ascii="inherit" w:eastAsia="Times New Roman" w:hAnsi="inherit" w:cs="Arial"/>
          <w:i/>
          <w:iCs/>
          <w:color w:val="222222"/>
          <w:sz w:val="21"/>
          <w:szCs w:val="21"/>
          <w:bdr w:val="none" w:sz="0" w:space="0" w:color="auto" w:frame="1"/>
          <w:lang w:eastAsia="tr-TR"/>
        </w:rPr>
        <w:t>see Boxed Warning, Warnings and Precautions (5.12)].</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145" w:name="Lf80dccca-8168-41ba-92de-b14692bb3209"/>
      <w:bookmarkStart w:id="146" w:name="section-13.4"/>
      <w:bookmarkEnd w:id="145"/>
      <w:bookmarkEnd w:id="146"/>
      <w:r w:rsidRPr="0045530E">
        <w:rPr>
          <w:rFonts w:ascii="inherit" w:eastAsia="Times New Roman" w:hAnsi="inherit" w:cs="Arial"/>
          <w:b/>
          <w:bCs/>
          <w:color w:val="222222"/>
          <w:sz w:val="36"/>
          <w:szCs w:val="36"/>
          <w:lang w:eastAsia="tr-TR"/>
        </w:rPr>
        <w:t>14.4 Ankylosing Spondylitis</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Celecoxib was evaluated in AS patients in two placebo- and active-controlled clinical trials of 6 and 12 weeks duration.</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 xml:space="preserve">Celecoxib at doses of 100 mg twice daily, 200 mg once daily and 400 mg once daily was shown to be statistically superior to placebo in these studies for all three co-primary efficacy measures assessing </w:t>
      </w:r>
      <w:proofErr w:type="gramStart"/>
      <w:r w:rsidRPr="0045530E">
        <w:rPr>
          <w:rFonts w:ascii="inherit" w:eastAsia="Times New Roman" w:hAnsi="inherit" w:cs="Arial"/>
          <w:color w:val="222222"/>
          <w:sz w:val="21"/>
          <w:szCs w:val="21"/>
          <w:lang w:eastAsia="tr-TR"/>
        </w:rPr>
        <w:t>global</w:t>
      </w:r>
      <w:proofErr w:type="gramEnd"/>
      <w:r w:rsidRPr="0045530E">
        <w:rPr>
          <w:rFonts w:ascii="inherit" w:eastAsia="Times New Roman" w:hAnsi="inherit" w:cs="Arial"/>
          <w:color w:val="222222"/>
          <w:sz w:val="21"/>
          <w:szCs w:val="21"/>
          <w:lang w:eastAsia="tr-TR"/>
        </w:rPr>
        <w:t xml:space="preserve"> pain intensity (Visual Analogue Scale), global disease activity (Visual Analogue Scale) and functional impairment (Bath Ankylosing Spondylitis Functional Index). </w:t>
      </w:r>
      <w:proofErr w:type="gramStart"/>
      <w:r w:rsidRPr="0045530E">
        <w:rPr>
          <w:rFonts w:ascii="inherit" w:eastAsia="Times New Roman" w:hAnsi="inherit" w:cs="Arial"/>
          <w:color w:val="222222"/>
          <w:sz w:val="21"/>
          <w:szCs w:val="21"/>
          <w:lang w:eastAsia="tr-TR"/>
        </w:rPr>
        <w:t xml:space="preserve">In the 12-week study, there was no difference in the extent of improvement between the 200 mg and 400 mg celecoxib doses in a comparison of mean change from baseline, but there was a greater percentage of patients who responded to celecoxib 400 mg, 53%, than to celecoxib 200 mg, 44%, using the Assessment in Ankylosing Spondylitis response criteria (ASAS 20). </w:t>
      </w:r>
      <w:proofErr w:type="gramEnd"/>
      <w:r w:rsidRPr="0045530E">
        <w:rPr>
          <w:rFonts w:ascii="inherit" w:eastAsia="Times New Roman" w:hAnsi="inherit" w:cs="Arial"/>
          <w:color w:val="222222"/>
          <w:sz w:val="21"/>
          <w:szCs w:val="21"/>
          <w:lang w:eastAsia="tr-TR"/>
        </w:rPr>
        <w:t xml:space="preserve">The ASAS 20 defines a responder as improvement from baseline of at least 20% and an absolute improvement of at least 10 mm, on a 0 to 100 mm scale, in at least three of the four following domains: patient </w:t>
      </w:r>
      <w:proofErr w:type="gramStart"/>
      <w:r w:rsidRPr="0045530E">
        <w:rPr>
          <w:rFonts w:ascii="inherit" w:eastAsia="Times New Roman" w:hAnsi="inherit" w:cs="Arial"/>
          <w:color w:val="222222"/>
          <w:sz w:val="21"/>
          <w:szCs w:val="21"/>
          <w:lang w:eastAsia="tr-TR"/>
        </w:rPr>
        <w:t>global</w:t>
      </w:r>
      <w:proofErr w:type="gramEnd"/>
      <w:r w:rsidRPr="0045530E">
        <w:rPr>
          <w:rFonts w:ascii="inherit" w:eastAsia="Times New Roman" w:hAnsi="inherit" w:cs="Arial"/>
          <w:color w:val="222222"/>
          <w:sz w:val="21"/>
          <w:szCs w:val="21"/>
          <w:lang w:eastAsia="tr-TR"/>
        </w:rPr>
        <w:t xml:space="preserve"> pain, Bath Ankylosing Spondylitis Functional Index, and inflammation. The responder analysis also demonstrated no change in the responder rates beyond 6 weeks.</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147" w:name="Ld7383098-8b1e-4fa2-823e-fbf679e46eea"/>
      <w:bookmarkStart w:id="148" w:name="section-13.5"/>
      <w:bookmarkEnd w:id="147"/>
      <w:bookmarkEnd w:id="148"/>
      <w:r w:rsidRPr="0045530E">
        <w:rPr>
          <w:rFonts w:ascii="inherit" w:eastAsia="Times New Roman" w:hAnsi="inherit" w:cs="Arial"/>
          <w:b/>
          <w:bCs/>
          <w:color w:val="222222"/>
          <w:sz w:val="36"/>
          <w:szCs w:val="36"/>
          <w:lang w:eastAsia="tr-TR"/>
        </w:rPr>
        <w:t>14.5 Analgesia, including Primary Dysmenorrhea</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In acute analgesic models of post-oral surgery pain, post-orthopedic surgical pain, and primary dysmenorrhea, celecoxib relieved pain that was rated by patients as moderate to severe. Single doses</w:t>
      </w:r>
      <w:r w:rsidRPr="0045530E">
        <w:rPr>
          <w:rFonts w:ascii="inherit" w:eastAsia="Times New Roman" w:hAnsi="inherit" w:cs="Arial"/>
          <w:i/>
          <w:iCs/>
          <w:color w:val="222222"/>
          <w:sz w:val="21"/>
          <w:szCs w:val="21"/>
          <w:bdr w:val="none" w:sz="0" w:space="0" w:color="auto" w:frame="1"/>
          <w:lang w:eastAsia="tr-TR"/>
        </w:rPr>
        <w:t> [see Dosage and Administration (</w:t>
      </w:r>
      <w:proofErr w:type="gramStart"/>
      <w:r w:rsidRPr="0045530E">
        <w:rPr>
          <w:rFonts w:ascii="inherit" w:eastAsia="Times New Roman" w:hAnsi="inherit" w:cs="Arial"/>
          <w:i/>
          <w:iCs/>
          <w:color w:val="222222"/>
          <w:sz w:val="21"/>
          <w:szCs w:val="21"/>
          <w:bdr w:val="none" w:sz="0" w:space="0" w:color="auto" w:frame="1"/>
          <w:lang w:eastAsia="tr-TR"/>
        </w:rPr>
        <w:t>2.5</w:t>
      </w:r>
      <w:proofErr w:type="gramEnd"/>
      <w:r w:rsidRPr="0045530E">
        <w:rPr>
          <w:rFonts w:ascii="inherit" w:eastAsia="Times New Roman" w:hAnsi="inherit" w:cs="Arial"/>
          <w:i/>
          <w:iCs/>
          <w:color w:val="222222"/>
          <w:sz w:val="21"/>
          <w:szCs w:val="21"/>
          <w:bdr w:val="none" w:sz="0" w:space="0" w:color="auto" w:frame="1"/>
          <w:lang w:eastAsia="tr-TR"/>
        </w:rPr>
        <w:t>)] of celecoxib provided pain relief within 60 minutes.]</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149" w:name="Lfa263840-a6f9-4e39-bb59-8f1adbffac36"/>
      <w:bookmarkStart w:id="150" w:name="section-13.6"/>
      <w:bookmarkEnd w:id="149"/>
      <w:bookmarkEnd w:id="150"/>
      <w:r w:rsidRPr="0045530E">
        <w:rPr>
          <w:rFonts w:ascii="inherit" w:eastAsia="Times New Roman" w:hAnsi="inherit" w:cs="Arial"/>
          <w:b/>
          <w:bCs/>
          <w:color w:val="222222"/>
          <w:sz w:val="36"/>
          <w:szCs w:val="36"/>
          <w:lang w:eastAsia="tr-TR"/>
        </w:rPr>
        <w:t>14.6 Special Studies</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i/>
          <w:iCs/>
          <w:color w:val="222222"/>
          <w:sz w:val="21"/>
          <w:szCs w:val="21"/>
          <w:bdr w:val="none" w:sz="0" w:space="0" w:color="auto" w:frame="1"/>
          <w:lang w:eastAsia="tr-TR"/>
        </w:rPr>
        <w:t>Adenomatous Polyp Prevention Studies:</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Cardiovascular safety was evaluated in two randomized, double-blind, placebo-controlled, three year studies involving patients with Sporadic Adenomatous Polyps treated with celecoxib: the APC trial (Adenoma Prevention with Celecoxib) and the PreSAP trial (Prevention of Spontaneous Adenomatous Polyps). In the APC trial, there was a dose-related increase in the composite endpoint (adjudicated) of cardiovascular death, myocardial infarction, or stroke with celecoxib compared to placebo over 3 years of treatment. The PreSAP trial did not demonstrate a statistically significant increased risk for the same composite endpoint (adjudicated):</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 xml:space="preserve"> In the APC trial, the hazard ratios compared to placebo for a composite endpoint (adjudicated) of cardiovascular death, myocardial infarction, or stroke were </w:t>
      </w:r>
      <w:proofErr w:type="gramStart"/>
      <w:r w:rsidRPr="0045530E">
        <w:rPr>
          <w:rFonts w:ascii="inherit" w:eastAsia="Times New Roman" w:hAnsi="inherit" w:cs="Arial"/>
          <w:color w:val="222222"/>
          <w:sz w:val="21"/>
          <w:szCs w:val="21"/>
          <w:lang w:eastAsia="tr-TR"/>
        </w:rPr>
        <w:t>3.4</w:t>
      </w:r>
      <w:proofErr w:type="gramEnd"/>
      <w:r w:rsidRPr="0045530E">
        <w:rPr>
          <w:rFonts w:ascii="inherit" w:eastAsia="Times New Roman" w:hAnsi="inherit" w:cs="Arial"/>
          <w:color w:val="222222"/>
          <w:sz w:val="21"/>
          <w:szCs w:val="21"/>
          <w:lang w:eastAsia="tr-TR"/>
        </w:rPr>
        <w:t xml:space="preserve"> (95% CI 1.4 to 8.5) with celecoxib 400 mg twice daily and 2.8 (95% CI 1.1 to 7.2) with celecoxib 200 mg twice daily. Cumulative rates for this composite endpoint over 3 years were 3% (20/671 subjects) and </w:t>
      </w:r>
      <w:proofErr w:type="gramStart"/>
      <w:r w:rsidRPr="0045530E">
        <w:rPr>
          <w:rFonts w:ascii="inherit" w:eastAsia="Times New Roman" w:hAnsi="inherit" w:cs="Arial"/>
          <w:color w:val="222222"/>
          <w:sz w:val="21"/>
          <w:szCs w:val="21"/>
          <w:lang w:eastAsia="tr-TR"/>
        </w:rPr>
        <w:t>2.5</w:t>
      </w:r>
      <w:proofErr w:type="gramEnd"/>
      <w:r w:rsidRPr="0045530E">
        <w:rPr>
          <w:rFonts w:ascii="inherit" w:eastAsia="Times New Roman" w:hAnsi="inherit" w:cs="Arial"/>
          <w:color w:val="222222"/>
          <w:sz w:val="21"/>
          <w:szCs w:val="21"/>
          <w:lang w:eastAsia="tr-TR"/>
        </w:rPr>
        <w:t>% (17/685 subjects), respectively, compared to 0.9% (6/679 subjects) with placebo treatment. The increases in both celecoxib dose groups versus placebo-treated patients were mainly due to an increased incidence of myocardial infarction.</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 xml:space="preserve"> In the PreSAP trial, the hazard ratio for this same composite endpoint (adjudicated) was </w:t>
      </w:r>
      <w:proofErr w:type="gramStart"/>
      <w:r w:rsidRPr="0045530E">
        <w:rPr>
          <w:rFonts w:ascii="inherit" w:eastAsia="Times New Roman" w:hAnsi="inherit" w:cs="Arial"/>
          <w:color w:val="222222"/>
          <w:sz w:val="21"/>
          <w:szCs w:val="21"/>
          <w:lang w:eastAsia="tr-TR"/>
        </w:rPr>
        <w:t>1.2</w:t>
      </w:r>
      <w:proofErr w:type="gramEnd"/>
      <w:r w:rsidRPr="0045530E">
        <w:rPr>
          <w:rFonts w:ascii="inherit" w:eastAsia="Times New Roman" w:hAnsi="inherit" w:cs="Arial"/>
          <w:color w:val="222222"/>
          <w:sz w:val="21"/>
          <w:szCs w:val="21"/>
          <w:lang w:eastAsia="tr-TR"/>
        </w:rPr>
        <w:t xml:space="preserve"> (95% CI 0.6 to 2.4) with celecoxib 400 mg once daily compared to placebo. Cumulative rates for this composite endpoint over 3 years were </w:t>
      </w:r>
      <w:proofErr w:type="gramStart"/>
      <w:r w:rsidRPr="0045530E">
        <w:rPr>
          <w:rFonts w:ascii="inherit" w:eastAsia="Times New Roman" w:hAnsi="inherit" w:cs="Arial"/>
          <w:color w:val="222222"/>
          <w:sz w:val="21"/>
          <w:szCs w:val="21"/>
          <w:lang w:eastAsia="tr-TR"/>
        </w:rPr>
        <w:t>2.3</w:t>
      </w:r>
      <w:proofErr w:type="gramEnd"/>
      <w:r w:rsidRPr="0045530E">
        <w:rPr>
          <w:rFonts w:ascii="inherit" w:eastAsia="Times New Roman" w:hAnsi="inherit" w:cs="Arial"/>
          <w:color w:val="222222"/>
          <w:sz w:val="21"/>
          <w:szCs w:val="21"/>
          <w:lang w:eastAsia="tr-TR"/>
        </w:rPr>
        <w:t>% (21/933 subjects) and 1.9% (12/628 subjects), respectively.</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Clinical trials of other COX-2 selective and non-selective NSAIDs of up to three-years duration have shown an increased risk of serious cardiovascular thrombotic events, myocardial infarction, and stroke, which can be fatal. As a result, all NSAIDs are considered potentially associated with this risk.</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i/>
          <w:iCs/>
          <w:color w:val="222222"/>
          <w:sz w:val="21"/>
          <w:szCs w:val="21"/>
          <w:bdr w:val="none" w:sz="0" w:space="0" w:color="auto" w:frame="1"/>
          <w:lang w:eastAsia="tr-TR"/>
        </w:rPr>
        <w:t>Celecoxib Long-Term Arthritis Safety Study (CLASS):</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This was a prospective, long-term, safety outcome study conducted post-</w:t>
      </w:r>
      <w:proofErr w:type="gramStart"/>
      <w:r w:rsidRPr="0045530E">
        <w:rPr>
          <w:rFonts w:ascii="inherit" w:eastAsia="Times New Roman" w:hAnsi="inherit" w:cs="Arial"/>
          <w:color w:val="222222"/>
          <w:sz w:val="21"/>
          <w:szCs w:val="21"/>
          <w:lang w:eastAsia="tr-TR"/>
        </w:rPr>
        <w:t>marketing</w:t>
      </w:r>
      <w:proofErr w:type="gramEnd"/>
      <w:r w:rsidRPr="0045530E">
        <w:rPr>
          <w:rFonts w:ascii="inherit" w:eastAsia="Times New Roman" w:hAnsi="inherit" w:cs="Arial"/>
          <w:color w:val="222222"/>
          <w:sz w:val="21"/>
          <w:szCs w:val="21"/>
          <w:lang w:eastAsia="tr-TR"/>
        </w:rPr>
        <w:t xml:space="preserve"> in approximately 5,800 OA patients and 2,200 RA patients. Patients received celecoxib 400 mg twice daily (4-fold and 2-fold the recommended OA and RA doses, respectively), ibuprofen 800 mg three times daily or diclofenac 75 mg twice daily (common therapeutic doses). Median exposures for celecoxib (n = 3,987) and diclofenac (n = 1,996) were 9 months while ibuprofen (n = 1,985) was 6 months. The primary endpoint of this outcome study was the incidence of complicated ulcers (gastrointestinal bleeding, perforation or obstruction). Patients were allowed to take concomitant low-dose (&lt;325 mg/day) aspirin (ASA) for cardiovascular prophylaxis (ASA subgroups: celecoxib, n = 882; diclofenac, n = 445; ibuprofen, n = 412). Differences in the incidence of complicated ulcers between celecoxib and the combined group of ibuprofen and diclofenac were not statistically significant.</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Patients on celecoxib and concomitant low-dose ASA (N=882) experienced 4-fold higher rates of complicated ulcers compared to those not on ASA (N=3105). The Kaplan-Meier rate for complicated ulcers at 9 months was 1.12% versus 0.32% for those on low-dose ASA and those not on ASA, respectively </w:t>
      </w:r>
      <w:r w:rsidRPr="0045530E">
        <w:rPr>
          <w:rFonts w:ascii="inherit" w:eastAsia="Times New Roman" w:hAnsi="inherit" w:cs="Arial"/>
          <w:i/>
          <w:iCs/>
          <w:color w:val="222222"/>
          <w:sz w:val="21"/>
          <w:szCs w:val="21"/>
          <w:bdr w:val="none" w:sz="0" w:space="0" w:color="auto" w:frame="1"/>
          <w:lang w:eastAsia="tr-TR"/>
        </w:rPr>
        <w:t>[see Warnings and Precautions (</w:t>
      </w:r>
      <w:proofErr w:type="gramStart"/>
      <w:r w:rsidRPr="0045530E">
        <w:rPr>
          <w:rFonts w:ascii="inherit" w:eastAsia="Times New Roman" w:hAnsi="inherit" w:cs="Arial"/>
          <w:i/>
          <w:iCs/>
          <w:color w:val="222222"/>
          <w:sz w:val="21"/>
          <w:szCs w:val="21"/>
          <w:bdr w:val="none" w:sz="0" w:space="0" w:color="auto" w:frame="1"/>
          <w:lang w:eastAsia="tr-TR"/>
        </w:rPr>
        <w:t>5.4</w:t>
      </w:r>
      <w:proofErr w:type="gramEnd"/>
      <w:r w:rsidRPr="0045530E">
        <w:rPr>
          <w:rFonts w:ascii="inherit" w:eastAsia="Times New Roman" w:hAnsi="inherit" w:cs="Arial"/>
          <w:i/>
          <w:iCs/>
          <w:color w:val="222222"/>
          <w:sz w:val="21"/>
          <w:szCs w:val="21"/>
          <w:bdr w:val="none" w:sz="0" w:space="0" w:color="auto" w:frame="1"/>
          <w:lang w:eastAsia="tr-TR"/>
        </w:rPr>
        <w:t>)].</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The estimated cumulative rates at 9 months of complicated and symptomatic ulcers for patients treated with celecoxib 400 mg twice daily are described in Table 4. Table 4 also displays results for patients less than or greater than 65 years of age. The difference in rates between celecoxib alone and celecoxib with ASA groups may be due to the higher risk for GI events in ASA users.</w:t>
      </w:r>
    </w:p>
    <w:p w:rsidR="0045530E" w:rsidRPr="0045530E" w:rsidRDefault="0045530E" w:rsidP="0045530E">
      <w:pPr>
        <w:shd w:val="clear" w:color="auto" w:fill="FFFFFF"/>
        <w:spacing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color w:val="222222"/>
          <w:sz w:val="21"/>
          <w:szCs w:val="21"/>
          <w:bdr w:val="none" w:sz="0" w:space="0" w:color="auto" w:frame="1"/>
          <w:lang w:eastAsia="tr-TR"/>
        </w:rPr>
        <w:t>Table 4: Complicated and Symptomatic Ulcer Rates in Patients Taking celecoxib 400 mg Twice Daily (Kaplan-Meier Rates at 9 months [%]) Based on Risk Factors</w:t>
      </w:r>
    </w:p>
    <w:tbl>
      <w:tblPr>
        <w:tblW w:w="5000" w:type="pct"/>
        <w:tblCellMar>
          <w:left w:w="0" w:type="dxa"/>
          <w:right w:w="0" w:type="dxa"/>
        </w:tblCellMar>
        <w:tblLook w:val="04A0" w:firstRow="1" w:lastRow="0" w:firstColumn="1" w:lastColumn="0" w:noHBand="0" w:noVBand="1"/>
      </w:tblPr>
      <w:tblGrid>
        <w:gridCol w:w="7590"/>
        <w:gridCol w:w="1662"/>
      </w:tblGrid>
      <w:tr w:rsidR="0045530E" w:rsidRPr="0045530E" w:rsidTr="0045530E">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sz w:val="24"/>
                <w:szCs w:val="24"/>
                <w:bdr w:val="none" w:sz="0" w:space="0" w:color="auto" w:frame="1"/>
                <w:lang w:eastAsia="tr-TR"/>
              </w:rPr>
              <w:t>All Patients</w:t>
            </w:r>
            <w:r w:rsidRPr="0045530E">
              <w:rPr>
                <w:rFonts w:ascii="inherit" w:eastAsia="Times New Roman" w:hAnsi="inherit" w:cs="Times New Roman"/>
                <w:sz w:val="24"/>
                <w:szCs w:val="24"/>
                <w:lang w:eastAsia="tr-TR"/>
              </w:rPr>
              <w:t> </w:t>
            </w:r>
            <w:r w:rsidRPr="0045530E">
              <w:rPr>
                <w:rFonts w:ascii="inherit" w:eastAsia="Times New Roman" w:hAnsi="inherit" w:cs="Times New Roman"/>
                <w:sz w:val="24"/>
                <w:szCs w:val="24"/>
                <w:lang w:eastAsia="tr-TR"/>
              </w:rPr>
              <w:br/>
              <w:t>Celecoxib alone (n=3105)</w:t>
            </w:r>
            <w:r w:rsidRPr="0045530E">
              <w:rPr>
                <w:rFonts w:ascii="inherit" w:eastAsia="Times New Roman" w:hAnsi="inherit" w:cs="Times New Roman"/>
                <w:sz w:val="24"/>
                <w:szCs w:val="24"/>
                <w:lang w:eastAsia="tr-TR"/>
              </w:rPr>
              <w:br/>
              <w:t>Celecoxib with ASA (n=882)</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0.78</w:t>
            </w:r>
            <w:r w:rsidRPr="0045530E">
              <w:rPr>
                <w:rFonts w:ascii="inherit" w:eastAsia="Times New Roman" w:hAnsi="inherit" w:cs="Times New Roman"/>
                <w:sz w:val="24"/>
                <w:szCs w:val="24"/>
                <w:lang w:eastAsia="tr-TR"/>
              </w:rPr>
              <w:br/>
              <w:t>2.19</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sz w:val="24"/>
                <w:szCs w:val="24"/>
                <w:bdr w:val="none" w:sz="0" w:space="0" w:color="auto" w:frame="1"/>
                <w:lang w:eastAsia="tr-TR"/>
              </w:rPr>
              <w:t>Patients &lt;65 Years</w:t>
            </w:r>
            <w:r w:rsidRPr="0045530E">
              <w:rPr>
                <w:rFonts w:ascii="inherit" w:eastAsia="Times New Roman" w:hAnsi="inherit" w:cs="Times New Roman"/>
                <w:sz w:val="24"/>
                <w:szCs w:val="24"/>
                <w:lang w:eastAsia="tr-TR"/>
              </w:rPr>
              <w:t> </w:t>
            </w:r>
            <w:r w:rsidRPr="0045530E">
              <w:rPr>
                <w:rFonts w:ascii="inherit" w:eastAsia="Times New Roman" w:hAnsi="inherit" w:cs="Times New Roman"/>
                <w:sz w:val="24"/>
                <w:szCs w:val="24"/>
                <w:lang w:eastAsia="tr-TR"/>
              </w:rPr>
              <w:br/>
              <w:t>Celecoxib alone (n=2025)</w:t>
            </w:r>
            <w:r w:rsidRPr="0045530E">
              <w:rPr>
                <w:rFonts w:ascii="inherit" w:eastAsia="Times New Roman" w:hAnsi="inherit" w:cs="Times New Roman"/>
                <w:sz w:val="24"/>
                <w:szCs w:val="24"/>
                <w:lang w:eastAsia="tr-TR"/>
              </w:rPr>
              <w:br/>
              <w:t>Celecoxib with ASA (n=403)</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0.47</w:t>
            </w:r>
            <w:r w:rsidRPr="0045530E">
              <w:rPr>
                <w:rFonts w:ascii="inherit" w:eastAsia="Times New Roman" w:hAnsi="inherit" w:cs="Times New Roman"/>
                <w:sz w:val="24"/>
                <w:szCs w:val="24"/>
                <w:lang w:eastAsia="tr-TR"/>
              </w:rPr>
              <w:br/>
              <w:t>1.26</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sz w:val="24"/>
                <w:szCs w:val="24"/>
                <w:bdr w:val="none" w:sz="0" w:space="0" w:color="auto" w:frame="1"/>
                <w:lang w:eastAsia="tr-TR"/>
              </w:rPr>
              <w:t>Patients </w:t>
            </w:r>
            <w:r w:rsidRPr="0045530E">
              <w:rPr>
                <w:rFonts w:ascii="inherit" w:eastAsia="Times New Roman" w:hAnsi="inherit" w:cs="Times New Roman"/>
                <w:b/>
                <w:bCs/>
                <w:sz w:val="24"/>
                <w:szCs w:val="24"/>
                <w:u w:val="single"/>
                <w:bdr w:val="none" w:sz="0" w:space="0" w:color="auto" w:frame="1"/>
                <w:lang w:eastAsia="tr-TR"/>
              </w:rPr>
              <w:t>&gt;</w:t>
            </w:r>
            <w:r w:rsidRPr="0045530E">
              <w:rPr>
                <w:rFonts w:ascii="inherit" w:eastAsia="Times New Roman" w:hAnsi="inherit" w:cs="Times New Roman"/>
                <w:b/>
                <w:bCs/>
                <w:sz w:val="24"/>
                <w:szCs w:val="24"/>
                <w:bdr w:val="none" w:sz="0" w:space="0" w:color="auto" w:frame="1"/>
                <w:lang w:eastAsia="tr-TR"/>
              </w:rPr>
              <w:t>65 Years</w:t>
            </w:r>
            <w:r w:rsidRPr="0045530E">
              <w:rPr>
                <w:rFonts w:ascii="inherit" w:eastAsia="Times New Roman" w:hAnsi="inherit" w:cs="Times New Roman"/>
                <w:sz w:val="24"/>
                <w:szCs w:val="24"/>
                <w:lang w:eastAsia="tr-TR"/>
              </w:rPr>
              <w:t> </w:t>
            </w:r>
            <w:r w:rsidRPr="0045530E">
              <w:rPr>
                <w:rFonts w:ascii="inherit" w:eastAsia="Times New Roman" w:hAnsi="inherit" w:cs="Times New Roman"/>
                <w:sz w:val="24"/>
                <w:szCs w:val="24"/>
                <w:lang w:eastAsia="tr-TR"/>
              </w:rPr>
              <w:br/>
              <w:t>Celecoxib alone (n=1080)</w:t>
            </w:r>
            <w:r w:rsidRPr="0045530E">
              <w:rPr>
                <w:rFonts w:ascii="inherit" w:eastAsia="Times New Roman" w:hAnsi="inherit" w:cs="Times New Roman"/>
                <w:sz w:val="24"/>
                <w:szCs w:val="24"/>
                <w:lang w:eastAsia="tr-TR"/>
              </w:rPr>
              <w:br/>
              <w:t>Celecoxib with ASA (n=479)</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1.4</w:t>
            </w:r>
            <w:r w:rsidRPr="0045530E">
              <w:rPr>
                <w:rFonts w:ascii="inherit" w:eastAsia="Times New Roman" w:hAnsi="inherit" w:cs="Times New Roman"/>
                <w:sz w:val="24"/>
                <w:szCs w:val="24"/>
                <w:lang w:eastAsia="tr-TR"/>
              </w:rPr>
              <w:br/>
              <w:t>3.06 </w:t>
            </w:r>
          </w:p>
        </w:tc>
      </w:tr>
    </w:tbl>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 In a small number of patients with a history of ulcer disease, the complicated and symptomatic ulcer rates in patients taking celecoxib alone or celecoxib with ASA were, respectively, 2.56% (n=243) and 6.85% (n=91) at 48 weeks. These results are to be expected in patients with a prior history of ulcer disease</w:t>
      </w:r>
      <w:r w:rsidRPr="0045530E">
        <w:rPr>
          <w:rFonts w:ascii="inherit" w:eastAsia="Times New Roman" w:hAnsi="inherit" w:cs="Arial"/>
          <w:i/>
          <w:iCs/>
          <w:color w:val="222222"/>
          <w:sz w:val="21"/>
          <w:szCs w:val="21"/>
          <w:bdr w:val="none" w:sz="0" w:space="0" w:color="auto" w:frame="1"/>
          <w:lang w:eastAsia="tr-TR"/>
        </w:rPr>
        <w:t> [see Warnings and Precautions (</w:t>
      </w:r>
      <w:proofErr w:type="gramStart"/>
      <w:r w:rsidRPr="0045530E">
        <w:rPr>
          <w:rFonts w:ascii="inherit" w:eastAsia="Times New Roman" w:hAnsi="inherit" w:cs="Arial"/>
          <w:i/>
          <w:iCs/>
          <w:color w:val="222222"/>
          <w:sz w:val="21"/>
          <w:szCs w:val="21"/>
          <w:bdr w:val="none" w:sz="0" w:space="0" w:color="auto" w:frame="1"/>
          <w:lang w:eastAsia="tr-TR"/>
        </w:rPr>
        <w:t>5.4</w:t>
      </w:r>
      <w:proofErr w:type="gramEnd"/>
      <w:r w:rsidRPr="0045530E">
        <w:rPr>
          <w:rFonts w:ascii="inherit" w:eastAsia="Times New Roman" w:hAnsi="inherit" w:cs="Arial"/>
          <w:i/>
          <w:iCs/>
          <w:color w:val="222222"/>
          <w:sz w:val="21"/>
          <w:szCs w:val="21"/>
          <w:bdr w:val="none" w:sz="0" w:space="0" w:color="auto" w:frame="1"/>
          <w:lang w:eastAsia="tr-TR"/>
        </w:rPr>
        <w:t>) and Adverse Reactions (6.1)].</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 xml:space="preserve">Cardiovascular safety outcomes were also evaluated in the CLASS trial. Kaplan-Meier cumulative rates for investigator-reported serious cardiovascular thromboembolic adverse events (including MI, pulmonary embolism, deep venous thrombosis, unstable angina, transient ischemic attacks, and ischemic cerebrovascular accidents) demonstrated no differences between the celecoxib, diclofenac, or ibuprofen treatment groups. The cumulative rates in all patients at nine months for celecoxib, diclofenac, and ibuprofen were </w:t>
      </w:r>
      <w:proofErr w:type="gramStart"/>
      <w:r w:rsidRPr="0045530E">
        <w:rPr>
          <w:rFonts w:ascii="inherit" w:eastAsia="Times New Roman" w:hAnsi="inherit" w:cs="Arial"/>
          <w:color w:val="222222"/>
          <w:sz w:val="21"/>
          <w:szCs w:val="21"/>
          <w:lang w:eastAsia="tr-TR"/>
        </w:rPr>
        <w:t>1.2</w:t>
      </w:r>
      <w:proofErr w:type="gramEnd"/>
      <w:r w:rsidRPr="0045530E">
        <w:rPr>
          <w:rFonts w:ascii="inherit" w:eastAsia="Times New Roman" w:hAnsi="inherit" w:cs="Arial"/>
          <w:color w:val="222222"/>
          <w:sz w:val="21"/>
          <w:szCs w:val="21"/>
          <w:lang w:eastAsia="tr-TR"/>
        </w:rPr>
        <w:t xml:space="preserve">%, 1.4%, and 1.1%, respectively. The cumulative rates in non-ASA users at nine months in each of the three treatment groups were less than 1%. The cumulative rates for myocardial infarction in non-ASA users at nine months in each of the three treatment groups were less than </w:t>
      </w:r>
      <w:proofErr w:type="gramStart"/>
      <w:r w:rsidRPr="0045530E">
        <w:rPr>
          <w:rFonts w:ascii="inherit" w:eastAsia="Times New Roman" w:hAnsi="inherit" w:cs="Arial"/>
          <w:color w:val="222222"/>
          <w:sz w:val="21"/>
          <w:szCs w:val="21"/>
          <w:lang w:eastAsia="tr-TR"/>
        </w:rPr>
        <w:t>0.2</w:t>
      </w:r>
      <w:proofErr w:type="gramEnd"/>
      <w:r w:rsidRPr="0045530E">
        <w:rPr>
          <w:rFonts w:ascii="inherit" w:eastAsia="Times New Roman" w:hAnsi="inherit" w:cs="Arial"/>
          <w:color w:val="222222"/>
          <w:sz w:val="21"/>
          <w:szCs w:val="21"/>
          <w:lang w:eastAsia="tr-TR"/>
        </w:rPr>
        <w:t>%. There was no placebo group in the CLASS trial, which limits the ability to determine whether the three drugs tested had no increased risk of CV events or if they all increased the risk to a similar degree</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i/>
          <w:iCs/>
          <w:color w:val="222222"/>
          <w:sz w:val="21"/>
          <w:szCs w:val="21"/>
          <w:bdr w:val="none" w:sz="0" w:space="0" w:color="auto" w:frame="1"/>
          <w:lang w:eastAsia="tr-TR"/>
        </w:rPr>
        <w:t>Endoscopic Studies:</w:t>
      </w:r>
      <w:r w:rsidRPr="0045530E">
        <w:rPr>
          <w:rFonts w:ascii="inherit" w:eastAsia="Times New Roman" w:hAnsi="inherit" w:cs="Arial"/>
          <w:color w:val="222222"/>
          <w:sz w:val="21"/>
          <w:szCs w:val="21"/>
          <w:lang w:eastAsia="tr-TR"/>
        </w:rPr>
        <w:t> The correlation between findings of short-term endoscopic studies with celecoxib and the relative incidence of clinically significant serious upper GI events with longterm use has not been established. Serious clinically significant upper GI bleeding has been observed in patients receiving celecoxib in controlled and open-labeled trials </w:t>
      </w:r>
      <w:r w:rsidRPr="0045530E">
        <w:rPr>
          <w:rFonts w:ascii="inherit" w:eastAsia="Times New Roman" w:hAnsi="inherit" w:cs="Arial"/>
          <w:i/>
          <w:iCs/>
          <w:color w:val="222222"/>
          <w:sz w:val="21"/>
          <w:szCs w:val="21"/>
          <w:bdr w:val="none" w:sz="0" w:space="0" w:color="auto" w:frame="1"/>
          <w:lang w:eastAsia="tr-TR"/>
        </w:rPr>
        <w:t>[see Warnings and Precautions (</w:t>
      </w:r>
      <w:proofErr w:type="gramStart"/>
      <w:r w:rsidRPr="0045530E">
        <w:rPr>
          <w:rFonts w:ascii="inherit" w:eastAsia="Times New Roman" w:hAnsi="inherit" w:cs="Arial"/>
          <w:i/>
          <w:iCs/>
          <w:color w:val="222222"/>
          <w:sz w:val="21"/>
          <w:szCs w:val="21"/>
          <w:bdr w:val="none" w:sz="0" w:space="0" w:color="auto" w:frame="1"/>
          <w:lang w:eastAsia="tr-TR"/>
        </w:rPr>
        <w:t>5.4</w:t>
      </w:r>
      <w:proofErr w:type="gramEnd"/>
      <w:r w:rsidRPr="0045530E">
        <w:rPr>
          <w:rFonts w:ascii="inherit" w:eastAsia="Times New Roman" w:hAnsi="inherit" w:cs="Arial"/>
          <w:i/>
          <w:iCs/>
          <w:color w:val="222222"/>
          <w:sz w:val="21"/>
          <w:szCs w:val="21"/>
          <w:bdr w:val="none" w:sz="0" w:space="0" w:color="auto" w:frame="1"/>
          <w:lang w:eastAsia="tr-TR"/>
        </w:rPr>
        <w:t>) and Clinical Studies (14.6)]</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A randomized, double-blind study in 430 RA patients was conducted in which an endoscopic examination was performed at 6 months. The incidence of endoscopic ulcers in patients taking celecoxib 200 mg twice daily was 4% vs. 15% for patients taking diclofenac SR 75 mg twice daily. However, celecoxib was not statistically different than diclofenac for clinically relevant GI outcomes in the CLASS trial</w:t>
      </w:r>
      <w:r w:rsidRPr="0045530E">
        <w:rPr>
          <w:rFonts w:ascii="inherit" w:eastAsia="Times New Roman" w:hAnsi="inherit" w:cs="Arial"/>
          <w:i/>
          <w:iCs/>
          <w:color w:val="222222"/>
          <w:sz w:val="21"/>
          <w:szCs w:val="21"/>
          <w:bdr w:val="none" w:sz="0" w:space="0" w:color="auto" w:frame="1"/>
          <w:lang w:eastAsia="tr-TR"/>
        </w:rPr>
        <w:t> [see Clinical Studies (</w:t>
      </w:r>
      <w:proofErr w:type="gramStart"/>
      <w:r w:rsidRPr="0045530E">
        <w:rPr>
          <w:rFonts w:ascii="inherit" w:eastAsia="Times New Roman" w:hAnsi="inherit" w:cs="Arial"/>
          <w:i/>
          <w:iCs/>
          <w:color w:val="222222"/>
          <w:sz w:val="21"/>
          <w:szCs w:val="21"/>
          <w:bdr w:val="none" w:sz="0" w:space="0" w:color="auto" w:frame="1"/>
          <w:lang w:eastAsia="tr-TR"/>
        </w:rPr>
        <w:t>14.6</w:t>
      </w:r>
      <w:proofErr w:type="gramEnd"/>
      <w:r w:rsidRPr="0045530E">
        <w:rPr>
          <w:rFonts w:ascii="inherit" w:eastAsia="Times New Roman" w:hAnsi="inherit" w:cs="Arial"/>
          <w:i/>
          <w:iCs/>
          <w:color w:val="222222"/>
          <w:sz w:val="21"/>
          <w:szCs w:val="21"/>
          <w:bdr w:val="none" w:sz="0" w:space="0" w:color="auto" w:frame="1"/>
          <w:lang w:eastAsia="tr-TR"/>
        </w:rPr>
        <w:t>)].</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 xml:space="preserve">The incidence of endoscopic ulcers was studied in two 12-week, placebo-controlled studies in 2157 OA and RA patients in whom baseline endoscopies revealed no ulcers. There was no dose relationship for the incidence of gastroduodenal ulcers and the dose of celecoxib (50 mg to 400 mg twice daily). The incidence for naproxen 500 mg twice daily was </w:t>
      </w:r>
      <w:proofErr w:type="gramStart"/>
      <w:r w:rsidRPr="0045530E">
        <w:rPr>
          <w:rFonts w:ascii="inherit" w:eastAsia="Times New Roman" w:hAnsi="inherit" w:cs="Arial"/>
          <w:color w:val="222222"/>
          <w:sz w:val="21"/>
          <w:szCs w:val="21"/>
          <w:lang w:eastAsia="tr-TR"/>
        </w:rPr>
        <w:t>16.2</w:t>
      </w:r>
      <w:proofErr w:type="gramEnd"/>
      <w:r w:rsidRPr="0045530E">
        <w:rPr>
          <w:rFonts w:ascii="inherit" w:eastAsia="Times New Roman" w:hAnsi="inherit" w:cs="Arial"/>
          <w:color w:val="222222"/>
          <w:sz w:val="21"/>
          <w:szCs w:val="21"/>
          <w:lang w:eastAsia="tr-TR"/>
        </w:rPr>
        <w:t xml:space="preserve"> and 17.6% in the two studies, for placebo was 2 and 2.3%, and for all doses of celecoxib the incidence ranged between 2.7% to 5.9%. There have been no large, clinical outcome studies to compare clinically relevant GI outcomes with celecoxib and naproxen.</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In the endoscopic studies, approximately 11% of patients were taking aspirin (&lt;325 mg/day). In the celecoxib groups, the endoscopic ulcer rate appeared to be higher in aspirin users than in non-users. However, the increased rate of ulcers in these aspirin users was less than the endoscopic ulcer rates observed in the active comparator groups, with or without aspirin.</w:t>
      </w:r>
    </w:p>
    <w:p w:rsidR="0045530E" w:rsidRPr="0045530E" w:rsidRDefault="0045530E" w:rsidP="0045530E">
      <w:pPr>
        <w:shd w:val="clear" w:color="auto" w:fill="FFFFFF"/>
        <w:spacing w:after="75" w:line="240" w:lineRule="auto"/>
        <w:ind w:left="450"/>
        <w:textAlignment w:val="baseline"/>
        <w:rPr>
          <w:rFonts w:ascii="inherit" w:eastAsia="Times New Roman" w:hAnsi="inherit" w:cs="Arial"/>
          <w:color w:val="222222"/>
          <w:sz w:val="21"/>
          <w:szCs w:val="21"/>
          <w:lang w:eastAsia="tr-TR"/>
        </w:rPr>
      </w:pPr>
      <w:hyperlink r:id="rId163" w:history="1">
        <w:r w:rsidRPr="0045530E">
          <w:rPr>
            <w:rFonts w:ascii="Arial" w:eastAsia="Times New Roman" w:hAnsi="Arial" w:cs="Arial"/>
            <w:caps/>
            <w:color w:val="1D86BB"/>
            <w:sz w:val="18"/>
            <w:szCs w:val="18"/>
            <w:u w:val="single"/>
            <w:bdr w:val="none" w:sz="0" w:space="0" w:color="auto" w:frame="1"/>
            <w:lang w:eastAsia="tr-TR"/>
          </w:rPr>
          <w:t>CLOSE</w:t>
        </w:r>
      </w:hyperlink>
    </w:p>
    <w:p w:rsidR="0045530E" w:rsidRPr="0045530E" w:rsidRDefault="0045530E" w:rsidP="0045530E">
      <w:pPr>
        <w:numPr>
          <w:ilvl w:val="0"/>
          <w:numId w:val="9"/>
        </w:numPr>
        <w:shd w:val="clear" w:color="auto" w:fill="FFFFFF"/>
        <w:spacing w:after="0" w:line="240" w:lineRule="auto"/>
        <w:ind w:left="0"/>
        <w:textAlignment w:val="baseline"/>
        <w:rPr>
          <w:rFonts w:ascii="inherit" w:eastAsia="Times New Roman" w:hAnsi="inherit" w:cs="Arial"/>
          <w:color w:val="222222"/>
          <w:sz w:val="21"/>
          <w:szCs w:val="21"/>
          <w:lang w:eastAsia="tr-TR"/>
        </w:rPr>
      </w:pPr>
      <w:hyperlink r:id="rId164" w:history="1">
        <w:r w:rsidRPr="0045530E">
          <w:rPr>
            <w:rFonts w:ascii="Arial" w:eastAsia="Times New Roman" w:hAnsi="Arial" w:cs="Arial"/>
            <w:caps/>
            <w:color w:val="000000"/>
            <w:sz w:val="30"/>
            <w:szCs w:val="30"/>
            <w:u w:val="single"/>
            <w:bdr w:val="none" w:sz="0" w:space="0" w:color="auto" w:frame="1"/>
            <w:lang w:eastAsia="tr-TR"/>
          </w:rPr>
          <w:t>16. HOW SUPPLIED/STORAGE AND HANDLING</w:t>
        </w:r>
      </w:hyperlink>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bookmarkStart w:id="151" w:name="L5e6b7da7-47f4-4f94-9bc2-cf05ff5fc81a"/>
      <w:bookmarkStart w:id="152" w:name="section-14"/>
      <w:bookmarkEnd w:id="151"/>
      <w:bookmarkEnd w:id="152"/>
      <w:r w:rsidRPr="0045530E">
        <w:rPr>
          <w:rFonts w:ascii="inherit" w:eastAsia="Times New Roman" w:hAnsi="inherit" w:cs="Arial"/>
          <w:color w:val="222222"/>
          <w:sz w:val="21"/>
          <w:szCs w:val="21"/>
          <w:lang w:eastAsia="tr-TR"/>
        </w:rPr>
        <w:t>Celecoxib capsules 50 mg are opaque white/opaque white hard gelatin capsules size “5” having imprinting “134” on body with red ink and “A” on cap with red ink filled with white to offwhite colored granular powder.</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NDC 69399-182-81              bottle of 100 capsules</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Celecoxib capsules 100 mg are opaque white/opaque white hard gelatin capsules size “3” having imprinting “135” on body with blue ink and “A” on cap with blue ink filled with white to offwhite colored granular powder</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NDC 69399-183-81              bottle of 100 capsules</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Celecoxib capsules 200 mg are opaque white/opaque white hard gelatin capsules size “1” having imprinting “136” on body with golden yellow ink and “A” on cap with golden yellow ink filled with white to off-white colored granular powder</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NDC 69399-184-81              bottle of 100 capsules</w:t>
      </w:r>
      <w:r w:rsidRPr="0045530E">
        <w:rPr>
          <w:rFonts w:ascii="inherit" w:eastAsia="Times New Roman" w:hAnsi="inherit" w:cs="Arial"/>
          <w:color w:val="222222"/>
          <w:sz w:val="21"/>
          <w:szCs w:val="21"/>
          <w:lang w:eastAsia="tr-TR"/>
        </w:rPr>
        <w:br/>
        <w:t>NDC 69399-184-85              bottle of 500 capsules</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Celecoxib capsules 400 mg are opaque white/opaque white hard gelatin capsules size “00” having imprinting “137” on body with green ink and “A” on cap with green ink filled with white to off-white colored granular powder.</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br/>
        <w:t>NDC 69399-185-81              bottle of 100 capsules</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i/>
          <w:iCs/>
          <w:color w:val="222222"/>
          <w:sz w:val="21"/>
          <w:szCs w:val="21"/>
          <w:bdr w:val="none" w:sz="0" w:space="0" w:color="auto" w:frame="1"/>
          <w:lang w:eastAsia="tr-TR"/>
        </w:rPr>
        <w:t>Storage: </w:t>
      </w:r>
      <w:r w:rsidRPr="0045530E">
        <w:rPr>
          <w:rFonts w:ascii="inherit" w:eastAsia="Times New Roman" w:hAnsi="inherit" w:cs="Arial"/>
          <w:color w:val="222222"/>
          <w:sz w:val="21"/>
          <w:szCs w:val="21"/>
          <w:lang w:eastAsia="tr-TR"/>
        </w:rPr>
        <w:t>Store at 20°-25°C (68°-77°F) excursions permitted to 15°-30°C (59°-86°F) [see USP Controlled Room Temperature].</w:t>
      </w:r>
    </w:p>
    <w:p w:rsidR="0045530E" w:rsidRPr="0045530E" w:rsidRDefault="0045530E" w:rsidP="0045530E">
      <w:pPr>
        <w:shd w:val="clear" w:color="auto" w:fill="FFFFFF"/>
        <w:spacing w:after="75" w:line="240" w:lineRule="auto"/>
        <w:ind w:left="450"/>
        <w:textAlignment w:val="baseline"/>
        <w:rPr>
          <w:rFonts w:ascii="inherit" w:eastAsia="Times New Roman" w:hAnsi="inherit" w:cs="Arial"/>
          <w:color w:val="222222"/>
          <w:sz w:val="21"/>
          <w:szCs w:val="21"/>
          <w:lang w:eastAsia="tr-TR"/>
        </w:rPr>
      </w:pPr>
      <w:hyperlink r:id="rId165" w:history="1">
        <w:r w:rsidRPr="0045530E">
          <w:rPr>
            <w:rFonts w:ascii="Arial" w:eastAsia="Times New Roman" w:hAnsi="Arial" w:cs="Arial"/>
            <w:caps/>
            <w:color w:val="1D86BB"/>
            <w:sz w:val="18"/>
            <w:szCs w:val="18"/>
            <w:u w:val="single"/>
            <w:bdr w:val="none" w:sz="0" w:space="0" w:color="auto" w:frame="1"/>
            <w:lang w:eastAsia="tr-TR"/>
          </w:rPr>
          <w:t>CLOSE</w:t>
        </w:r>
      </w:hyperlink>
    </w:p>
    <w:p w:rsidR="0045530E" w:rsidRPr="0045530E" w:rsidRDefault="0045530E" w:rsidP="0045530E">
      <w:pPr>
        <w:numPr>
          <w:ilvl w:val="0"/>
          <w:numId w:val="9"/>
        </w:numPr>
        <w:shd w:val="clear" w:color="auto" w:fill="FFFFFF"/>
        <w:spacing w:after="0" w:line="240" w:lineRule="auto"/>
        <w:ind w:left="0"/>
        <w:textAlignment w:val="baseline"/>
        <w:rPr>
          <w:rFonts w:ascii="inherit" w:eastAsia="Times New Roman" w:hAnsi="inherit" w:cs="Arial"/>
          <w:color w:val="222222"/>
          <w:sz w:val="21"/>
          <w:szCs w:val="21"/>
          <w:lang w:eastAsia="tr-TR"/>
        </w:rPr>
      </w:pPr>
      <w:hyperlink r:id="rId166" w:history="1">
        <w:r w:rsidRPr="0045530E">
          <w:rPr>
            <w:rFonts w:ascii="Arial" w:eastAsia="Times New Roman" w:hAnsi="Arial" w:cs="Arial"/>
            <w:caps/>
            <w:color w:val="000000"/>
            <w:sz w:val="30"/>
            <w:szCs w:val="30"/>
            <w:u w:val="single"/>
            <w:bdr w:val="none" w:sz="0" w:space="0" w:color="auto" w:frame="1"/>
            <w:lang w:eastAsia="tr-TR"/>
          </w:rPr>
          <w:t>17. PATIENT COUNSELING INFORMATION</w:t>
        </w:r>
      </w:hyperlink>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bookmarkStart w:id="153" w:name="L4c57b2e5-92fa-4baa-bf93-c1051cc913a5"/>
      <w:bookmarkStart w:id="154" w:name="section-15"/>
      <w:bookmarkEnd w:id="153"/>
      <w:bookmarkEnd w:id="154"/>
      <w:r w:rsidRPr="0045530E">
        <w:rPr>
          <w:rFonts w:ascii="inherit" w:eastAsia="Times New Roman" w:hAnsi="inherit" w:cs="Arial"/>
          <w:color w:val="222222"/>
          <w:sz w:val="21"/>
          <w:szCs w:val="21"/>
          <w:lang w:eastAsia="tr-TR"/>
        </w:rPr>
        <w:t>Patients should be informed of the following information before initiating therapy with celecoxib and periodically during the course of ongoing therapy.</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155" w:name="Ld34d18f5-c1ba-4c22-b034-5538b938d2be"/>
      <w:bookmarkStart w:id="156" w:name="section-15.1"/>
      <w:bookmarkEnd w:id="155"/>
      <w:bookmarkEnd w:id="156"/>
      <w:r w:rsidRPr="0045530E">
        <w:rPr>
          <w:rFonts w:ascii="inherit" w:eastAsia="Times New Roman" w:hAnsi="inherit" w:cs="Arial"/>
          <w:b/>
          <w:bCs/>
          <w:color w:val="222222"/>
          <w:sz w:val="36"/>
          <w:szCs w:val="36"/>
          <w:lang w:eastAsia="tr-TR"/>
        </w:rPr>
        <w:t>17.1 Medication Guide</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Patients should be informed of the availability of a Medication Guide for NSAIDs that accompanies each prescription dispensed, and should be instructed to read the Medication Guide prior to using celecoxib.</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157" w:name="L8528819a-911b-4f4d-9c7c-da03818be068"/>
      <w:bookmarkStart w:id="158" w:name="section-15.2"/>
      <w:bookmarkEnd w:id="157"/>
      <w:bookmarkEnd w:id="158"/>
      <w:r w:rsidRPr="0045530E">
        <w:rPr>
          <w:rFonts w:ascii="inherit" w:eastAsia="Times New Roman" w:hAnsi="inherit" w:cs="Arial"/>
          <w:b/>
          <w:bCs/>
          <w:color w:val="222222"/>
          <w:sz w:val="36"/>
          <w:szCs w:val="36"/>
          <w:lang w:eastAsia="tr-TR"/>
        </w:rPr>
        <w:t>17.2 Cardiovascular Effects</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Patients should be informed that celecoxib may cause serious CV side effects such as MI or stroke, which may result in hospitalization and even death. Patients should be informed of the the signs and symptoms of chest pain, shortness of breath, weakness, slurring of speech, and to seek immediate medical advice if they observe any of these signs or symptoms </w:t>
      </w:r>
      <w:r w:rsidRPr="0045530E">
        <w:rPr>
          <w:rFonts w:ascii="inherit" w:eastAsia="Times New Roman" w:hAnsi="inherit" w:cs="Arial"/>
          <w:i/>
          <w:iCs/>
          <w:color w:val="222222"/>
          <w:sz w:val="21"/>
          <w:szCs w:val="21"/>
          <w:bdr w:val="none" w:sz="0" w:space="0" w:color="auto" w:frame="1"/>
          <w:lang w:eastAsia="tr-TR"/>
        </w:rPr>
        <w:t>[see Warnings and Precautions (</w:t>
      </w:r>
      <w:proofErr w:type="gramStart"/>
      <w:r w:rsidRPr="0045530E">
        <w:rPr>
          <w:rFonts w:ascii="inherit" w:eastAsia="Times New Roman" w:hAnsi="inherit" w:cs="Arial"/>
          <w:i/>
          <w:iCs/>
          <w:color w:val="222222"/>
          <w:sz w:val="21"/>
          <w:szCs w:val="21"/>
          <w:bdr w:val="none" w:sz="0" w:space="0" w:color="auto" w:frame="1"/>
          <w:lang w:eastAsia="tr-TR"/>
        </w:rPr>
        <w:t>5.1</w:t>
      </w:r>
      <w:proofErr w:type="gramEnd"/>
      <w:r w:rsidRPr="0045530E">
        <w:rPr>
          <w:rFonts w:ascii="inherit" w:eastAsia="Times New Roman" w:hAnsi="inherit" w:cs="Arial"/>
          <w:i/>
          <w:iCs/>
          <w:color w:val="222222"/>
          <w:sz w:val="21"/>
          <w:szCs w:val="21"/>
          <w:bdr w:val="none" w:sz="0" w:space="0" w:color="auto" w:frame="1"/>
          <w:lang w:eastAsia="tr-TR"/>
        </w:rPr>
        <w:t>)].</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Patients should be informed that celecoxib can lead to the onset of new hypertension or worsening of preexisting hypertension, and that celecoxib may impair the response of some antihypertensive agents. Patients should be instructed on the proper follow up for monitoring of blood pressure</w:t>
      </w:r>
      <w:r w:rsidRPr="0045530E">
        <w:rPr>
          <w:rFonts w:ascii="inherit" w:eastAsia="Times New Roman" w:hAnsi="inherit" w:cs="Arial"/>
          <w:i/>
          <w:iCs/>
          <w:color w:val="222222"/>
          <w:sz w:val="21"/>
          <w:szCs w:val="21"/>
          <w:bdr w:val="none" w:sz="0" w:space="0" w:color="auto" w:frame="1"/>
          <w:lang w:eastAsia="tr-TR"/>
        </w:rPr>
        <w:t> [see Warnings and Precautions (</w:t>
      </w:r>
      <w:proofErr w:type="gramStart"/>
      <w:r w:rsidRPr="0045530E">
        <w:rPr>
          <w:rFonts w:ascii="inherit" w:eastAsia="Times New Roman" w:hAnsi="inherit" w:cs="Arial"/>
          <w:i/>
          <w:iCs/>
          <w:color w:val="222222"/>
          <w:sz w:val="21"/>
          <w:szCs w:val="21"/>
          <w:bdr w:val="none" w:sz="0" w:space="0" w:color="auto" w:frame="1"/>
          <w:lang w:eastAsia="tr-TR"/>
        </w:rPr>
        <w:t>5.2</w:t>
      </w:r>
      <w:proofErr w:type="gramEnd"/>
      <w:r w:rsidRPr="0045530E">
        <w:rPr>
          <w:rFonts w:ascii="inherit" w:eastAsia="Times New Roman" w:hAnsi="inherit" w:cs="Arial"/>
          <w:i/>
          <w:iCs/>
          <w:color w:val="222222"/>
          <w:sz w:val="21"/>
          <w:szCs w:val="21"/>
          <w:bdr w:val="none" w:sz="0" w:space="0" w:color="auto" w:frame="1"/>
          <w:lang w:eastAsia="tr-TR"/>
        </w:rPr>
        <w:t>) and Drug Interactions (7.4)].</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159" w:name="L4409c8a1-5666-4f96-bb60-d3c66fa3384c"/>
      <w:bookmarkStart w:id="160" w:name="section-15.3"/>
      <w:bookmarkEnd w:id="159"/>
      <w:bookmarkEnd w:id="160"/>
      <w:r w:rsidRPr="0045530E">
        <w:rPr>
          <w:rFonts w:ascii="inherit" w:eastAsia="Times New Roman" w:hAnsi="inherit" w:cs="Arial"/>
          <w:b/>
          <w:bCs/>
          <w:color w:val="222222"/>
          <w:sz w:val="36"/>
          <w:szCs w:val="36"/>
          <w:lang w:eastAsia="tr-TR"/>
        </w:rPr>
        <w:t>17.3 Gastrointestinal Effects</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Patients should be informed that celecoxib can cause gastrointestinal discomfort and more serious side effects, such as ulcers and bleeding, which may result in hospitalization and even death. Patients should be informed of the signs and symptoms of ulcerations and bleeding, and to seek immediate medical advice if they observe any signs or symptoms that are indicative of these disorders, including epigastric pain, dyspepsia, melena, and hematemesis </w:t>
      </w:r>
      <w:r w:rsidRPr="0045530E">
        <w:rPr>
          <w:rFonts w:ascii="inherit" w:eastAsia="Times New Roman" w:hAnsi="inherit" w:cs="Arial"/>
          <w:i/>
          <w:iCs/>
          <w:color w:val="222222"/>
          <w:sz w:val="21"/>
          <w:szCs w:val="21"/>
          <w:bdr w:val="none" w:sz="0" w:space="0" w:color="auto" w:frame="1"/>
          <w:lang w:eastAsia="tr-TR"/>
        </w:rPr>
        <w:t>[see Warnings and Precautions (</w:t>
      </w:r>
      <w:proofErr w:type="gramStart"/>
      <w:r w:rsidRPr="0045530E">
        <w:rPr>
          <w:rFonts w:ascii="inherit" w:eastAsia="Times New Roman" w:hAnsi="inherit" w:cs="Arial"/>
          <w:i/>
          <w:iCs/>
          <w:color w:val="222222"/>
          <w:sz w:val="21"/>
          <w:szCs w:val="21"/>
          <w:bdr w:val="none" w:sz="0" w:space="0" w:color="auto" w:frame="1"/>
          <w:lang w:eastAsia="tr-TR"/>
        </w:rPr>
        <w:t>5.4</w:t>
      </w:r>
      <w:proofErr w:type="gramEnd"/>
      <w:r w:rsidRPr="0045530E">
        <w:rPr>
          <w:rFonts w:ascii="inherit" w:eastAsia="Times New Roman" w:hAnsi="inherit" w:cs="Arial"/>
          <w:i/>
          <w:iCs/>
          <w:color w:val="222222"/>
          <w:sz w:val="21"/>
          <w:szCs w:val="21"/>
          <w:bdr w:val="none" w:sz="0" w:space="0" w:color="auto" w:frame="1"/>
          <w:lang w:eastAsia="tr-TR"/>
        </w:rPr>
        <w:t>)].</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161" w:name="Ld093d0f7-2ade-4413-9fd4-4ad7f0ff3d58"/>
      <w:bookmarkStart w:id="162" w:name="section-15.4"/>
      <w:bookmarkEnd w:id="161"/>
      <w:bookmarkEnd w:id="162"/>
      <w:r w:rsidRPr="0045530E">
        <w:rPr>
          <w:rFonts w:ascii="inherit" w:eastAsia="Times New Roman" w:hAnsi="inherit" w:cs="Arial"/>
          <w:b/>
          <w:bCs/>
          <w:color w:val="222222"/>
          <w:sz w:val="36"/>
          <w:szCs w:val="36"/>
          <w:lang w:eastAsia="tr-TR"/>
        </w:rPr>
        <w:t>17.4 Hepatic Effects</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Patients should be informed of the warning signs and symptoms of hepatotoxicity (e.g</w:t>
      </w:r>
      <w:proofErr w:type="gramStart"/>
      <w:r w:rsidRPr="0045530E">
        <w:rPr>
          <w:rFonts w:ascii="inherit" w:eastAsia="Times New Roman" w:hAnsi="inherit" w:cs="Arial"/>
          <w:color w:val="222222"/>
          <w:sz w:val="21"/>
          <w:szCs w:val="21"/>
          <w:lang w:eastAsia="tr-TR"/>
        </w:rPr>
        <w:t>.,</w:t>
      </w:r>
      <w:proofErr w:type="gramEnd"/>
      <w:r w:rsidRPr="0045530E">
        <w:rPr>
          <w:rFonts w:ascii="inherit" w:eastAsia="Times New Roman" w:hAnsi="inherit" w:cs="Arial"/>
          <w:color w:val="222222"/>
          <w:sz w:val="21"/>
          <w:szCs w:val="21"/>
          <w:lang w:eastAsia="tr-TR"/>
        </w:rPr>
        <w:t xml:space="preserve"> nausea, fatigue, lethargy, pruritus, jaundice, right upper quadrant tenderness, and "flu-like" symptoms). Patients should be instructed that they should stop therapy and seek immediate medical therapy if these signs and symptoms occur </w:t>
      </w:r>
      <w:r w:rsidRPr="0045530E">
        <w:rPr>
          <w:rFonts w:ascii="inherit" w:eastAsia="Times New Roman" w:hAnsi="inherit" w:cs="Arial"/>
          <w:i/>
          <w:iCs/>
          <w:color w:val="222222"/>
          <w:sz w:val="21"/>
          <w:szCs w:val="21"/>
          <w:bdr w:val="none" w:sz="0" w:space="0" w:color="auto" w:frame="1"/>
          <w:lang w:eastAsia="tr-TR"/>
        </w:rPr>
        <w:t>[see Warnings and Precautions (</w:t>
      </w:r>
      <w:proofErr w:type="gramStart"/>
      <w:r w:rsidRPr="0045530E">
        <w:rPr>
          <w:rFonts w:ascii="inherit" w:eastAsia="Times New Roman" w:hAnsi="inherit" w:cs="Arial"/>
          <w:i/>
          <w:iCs/>
          <w:color w:val="222222"/>
          <w:sz w:val="21"/>
          <w:szCs w:val="21"/>
          <w:bdr w:val="none" w:sz="0" w:space="0" w:color="auto" w:frame="1"/>
          <w:lang w:eastAsia="tr-TR"/>
        </w:rPr>
        <w:t>5.5</w:t>
      </w:r>
      <w:proofErr w:type="gramEnd"/>
      <w:r w:rsidRPr="0045530E">
        <w:rPr>
          <w:rFonts w:ascii="inherit" w:eastAsia="Times New Roman" w:hAnsi="inherit" w:cs="Arial"/>
          <w:i/>
          <w:iCs/>
          <w:color w:val="222222"/>
          <w:sz w:val="21"/>
          <w:szCs w:val="21"/>
          <w:bdr w:val="none" w:sz="0" w:space="0" w:color="auto" w:frame="1"/>
          <w:lang w:eastAsia="tr-TR"/>
        </w:rPr>
        <w:t>), Use in Specific Populations (8.6)].</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163" w:name="L915d2e22-1138-4978-95b8-b66f0d613048"/>
      <w:bookmarkStart w:id="164" w:name="section-15.5"/>
      <w:bookmarkEnd w:id="163"/>
      <w:bookmarkEnd w:id="164"/>
      <w:r w:rsidRPr="0045530E">
        <w:rPr>
          <w:rFonts w:ascii="inherit" w:eastAsia="Times New Roman" w:hAnsi="inherit" w:cs="Arial"/>
          <w:b/>
          <w:bCs/>
          <w:color w:val="222222"/>
          <w:sz w:val="36"/>
          <w:szCs w:val="36"/>
          <w:lang w:eastAsia="tr-TR"/>
        </w:rPr>
        <w:t>17.5 Adverse Skin Reactions</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Patients should be informed that celecoxib is a sulfonamide and can cause serious skin side effects such as exfoliative dermatitis, SJS, and TEN, which may result in hospitalizations and even death. Although serious skin reactions may occur without warning, patients should be informed of the signs and symptoms of skin rash and blisters, fever, or other signs of hypersensitivity such as itching, and seek immediate medical advice when observing any indicative signs or symptoms.</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Patients should be advised to stop celecoxib immediately if they develop any type of rash and contact their physician as soon as possible.</w:t>
      </w:r>
      <w:r w:rsidRPr="0045530E">
        <w:rPr>
          <w:rFonts w:ascii="inherit" w:eastAsia="Times New Roman" w:hAnsi="inherit" w:cs="Arial"/>
          <w:color w:val="222222"/>
          <w:sz w:val="21"/>
          <w:szCs w:val="21"/>
          <w:lang w:eastAsia="tr-TR"/>
        </w:rPr>
        <w:br/>
        <w:t>Patients with prior history of sulfa allergy should not take celecoxib </w:t>
      </w:r>
      <w:r w:rsidRPr="0045530E">
        <w:rPr>
          <w:rFonts w:ascii="inherit" w:eastAsia="Times New Roman" w:hAnsi="inherit" w:cs="Arial"/>
          <w:i/>
          <w:iCs/>
          <w:color w:val="222222"/>
          <w:sz w:val="21"/>
          <w:szCs w:val="21"/>
          <w:bdr w:val="none" w:sz="0" w:space="0" w:color="auto" w:frame="1"/>
          <w:lang w:eastAsia="tr-TR"/>
        </w:rPr>
        <w:t>[see Warnings and Precautions (</w:t>
      </w:r>
      <w:proofErr w:type="gramStart"/>
      <w:r w:rsidRPr="0045530E">
        <w:rPr>
          <w:rFonts w:ascii="inherit" w:eastAsia="Times New Roman" w:hAnsi="inherit" w:cs="Arial"/>
          <w:i/>
          <w:iCs/>
          <w:color w:val="222222"/>
          <w:sz w:val="21"/>
          <w:szCs w:val="21"/>
          <w:bdr w:val="none" w:sz="0" w:space="0" w:color="auto" w:frame="1"/>
          <w:lang w:eastAsia="tr-TR"/>
        </w:rPr>
        <w:t>5.8</w:t>
      </w:r>
      <w:proofErr w:type="gramEnd"/>
      <w:r w:rsidRPr="0045530E">
        <w:rPr>
          <w:rFonts w:ascii="inherit" w:eastAsia="Times New Roman" w:hAnsi="inherit" w:cs="Arial"/>
          <w:i/>
          <w:iCs/>
          <w:color w:val="222222"/>
          <w:sz w:val="21"/>
          <w:szCs w:val="21"/>
          <w:bdr w:val="none" w:sz="0" w:space="0" w:color="auto" w:frame="1"/>
          <w:lang w:eastAsia="tr-TR"/>
        </w:rPr>
        <w:t>)].</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165" w:name="Laad286ea-defc-4af2-a48d-080489910903"/>
      <w:bookmarkStart w:id="166" w:name="section-15.6"/>
      <w:bookmarkEnd w:id="165"/>
      <w:bookmarkEnd w:id="166"/>
      <w:r w:rsidRPr="0045530E">
        <w:rPr>
          <w:rFonts w:ascii="inherit" w:eastAsia="Times New Roman" w:hAnsi="inherit" w:cs="Arial"/>
          <w:b/>
          <w:bCs/>
          <w:color w:val="222222"/>
          <w:sz w:val="36"/>
          <w:szCs w:val="36"/>
          <w:lang w:eastAsia="tr-TR"/>
        </w:rPr>
        <w:t>17.6 Weight Gain and Edema</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Long-term administration of NSAIDs including celecoxib has resulted in renal injury. Patients at greatest risk are those taking diuretics, ACE-inhibitors, angiotensin II antagonists, or with renal or liver dysfunction, heart failure, and the elderly </w:t>
      </w:r>
      <w:r w:rsidRPr="0045530E">
        <w:rPr>
          <w:rFonts w:ascii="inherit" w:eastAsia="Times New Roman" w:hAnsi="inherit" w:cs="Arial"/>
          <w:i/>
          <w:iCs/>
          <w:color w:val="222222"/>
          <w:sz w:val="21"/>
          <w:szCs w:val="21"/>
          <w:bdr w:val="none" w:sz="0" w:space="0" w:color="auto" w:frame="1"/>
          <w:lang w:eastAsia="tr-TR"/>
        </w:rPr>
        <w:t>[see Warnings and Precautions (</w:t>
      </w:r>
      <w:proofErr w:type="gramStart"/>
      <w:r w:rsidRPr="0045530E">
        <w:rPr>
          <w:rFonts w:ascii="inherit" w:eastAsia="Times New Roman" w:hAnsi="inherit" w:cs="Arial"/>
          <w:i/>
          <w:iCs/>
          <w:color w:val="222222"/>
          <w:sz w:val="21"/>
          <w:szCs w:val="21"/>
          <w:bdr w:val="none" w:sz="0" w:space="0" w:color="auto" w:frame="1"/>
          <w:lang w:eastAsia="tr-TR"/>
        </w:rPr>
        <w:t>5.3</w:t>
      </w:r>
      <w:proofErr w:type="gramEnd"/>
      <w:r w:rsidRPr="0045530E">
        <w:rPr>
          <w:rFonts w:ascii="inherit" w:eastAsia="Times New Roman" w:hAnsi="inherit" w:cs="Arial"/>
          <w:i/>
          <w:iCs/>
          <w:color w:val="222222"/>
          <w:sz w:val="21"/>
          <w:szCs w:val="21"/>
          <w:bdr w:val="none" w:sz="0" w:space="0" w:color="auto" w:frame="1"/>
          <w:lang w:eastAsia="tr-TR"/>
        </w:rPr>
        <w:t>, 5.6), Use in Specific Populations (8)].</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Patients should be instructed to promptly report to their physicians signs or symptoms of unexplained weight gain or edema following treatment with celecoxib</w:t>
      </w:r>
      <w:r w:rsidRPr="0045530E">
        <w:rPr>
          <w:rFonts w:ascii="inherit" w:eastAsia="Times New Roman" w:hAnsi="inherit" w:cs="Arial"/>
          <w:i/>
          <w:iCs/>
          <w:color w:val="222222"/>
          <w:sz w:val="21"/>
          <w:szCs w:val="21"/>
          <w:bdr w:val="none" w:sz="0" w:space="0" w:color="auto" w:frame="1"/>
          <w:lang w:eastAsia="tr-TR"/>
        </w:rPr>
        <w:t> [see Warnings and Precautions (</w:t>
      </w:r>
      <w:proofErr w:type="gramStart"/>
      <w:r w:rsidRPr="0045530E">
        <w:rPr>
          <w:rFonts w:ascii="inherit" w:eastAsia="Times New Roman" w:hAnsi="inherit" w:cs="Arial"/>
          <w:i/>
          <w:iCs/>
          <w:color w:val="222222"/>
          <w:sz w:val="21"/>
          <w:szCs w:val="21"/>
          <w:bdr w:val="none" w:sz="0" w:space="0" w:color="auto" w:frame="1"/>
          <w:lang w:eastAsia="tr-TR"/>
        </w:rPr>
        <w:t>5.3</w:t>
      </w:r>
      <w:proofErr w:type="gramEnd"/>
      <w:r w:rsidRPr="0045530E">
        <w:rPr>
          <w:rFonts w:ascii="inherit" w:eastAsia="Times New Roman" w:hAnsi="inherit" w:cs="Arial"/>
          <w:i/>
          <w:iCs/>
          <w:color w:val="222222"/>
          <w:sz w:val="21"/>
          <w:szCs w:val="21"/>
          <w:bdr w:val="none" w:sz="0" w:space="0" w:color="auto" w:frame="1"/>
          <w:lang w:eastAsia="tr-TR"/>
        </w:rPr>
        <w:t>)].</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167" w:name="L57bab13c-2d9f-4c54-8baa-49bacc8bc967"/>
      <w:bookmarkStart w:id="168" w:name="section-15.7"/>
      <w:bookmarkEnd w:id="167"/>
      <w:bookmarkEnd w:id="168"/>
      <w:r w:rsidRPr="0045530E">
        <w:rPr>
          <w:rFonts w:ascii="inherit" w:eastAsia="Times New Roman" w:hAnsi="inherit" w:cs="Arial"/>
          <w:b/>
          <w:bCs/>
          <w:color w:val="222222"/>
          <w:sz w:val="36"/>
          <w:szCs w:val="36"/>
          <w:lang w:eastAsia="tr-TR"/>
        </w:rPr>
        <w:t>17.7 Anaphylactoid Reactions</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Patients should be informed of the signs and symptoms of an anaphylactoid reaction (e.g</w:t>
      </w:r>
      <w:proofErr w:type="gramStart"/>
      <w:r w:rsidRPr="0045530E">
        <w:rPr>
          <w:rFonts w:ascii="inherit" w:eastAsia="Times New Roman" w:hAnsi="inherit" w:cs="Arial"/>
          <w:color w:val="222222"/>
          <w:sz w:val="21"/>
          <w:szCs w:val="21"/>
          <w:lang w:eastAsia="tr-TR"/>
        </w:rPr>
        <w:t>.,</w:t>
      </w:r>
      <w:proofErr w:type="gramEnd"/>
      <w:r w:rsidRPr="0045530E">
        <w:rPr>
          <w:rFonts w:ascii="inherit" w:eastAsia="Times New Roman" w:hAnsi="inherit" w:cs="Arial"/>
          <w:color w:val="222222"/>
          <w:sz w:val="21"/>
          <w:szCs w:val="21"/>
          <w:lang w:eastAsia="tr-TR"/>
        </w:rPr>
        <w:t xml:space="preserve"> difficulty breathing, swelling of the face or throat). Patients should be instructed to seek immediate emergency assistance if they develop any of these signs and symptoms </w:t>
      </w:r>
      <w:r w:rsidRPr="0045530E">
        <w:rPr>
          <w:rFonts w:ascii="inherit" w:eastAsia="Times New Roman" w:hAnsi="inherit" w:cs="Arial"/>
          <w:i/>
          <w:iCs/>
          <w:color w:val="222222"/>
          <w:sz w:val="21"/>
          <w:szCs w:val="21"/>
          <w:bdr w:val="none" w:sz="0" w:space="0" w:color="auto" w:frame="1"/>
          <w:lang w:eastAsia="tr-TR"/>
        </w:rPr>
        <w:t>[see Warnings and Precautions (</w:t>
      </w:r>
      <w:proofErr w:type="gramStart"/>
      <w:r w:rsidRPr="0045530E">
        <w:rPr>
          <w:rFonts w:ascii="inherit" w:eastAsia="Times New Roman" w:hAnsi="inherit" w:cs="Arial"/>
          <w:i/>
          <w:iCs/>
          <w:color w:val="222222"/>
          <w:sz w:val="21"/>
          <w:szCs w:val="21"/>
          <w:bdr w:val="none" w:sz="0" w:space="0" w:color="auto" w:frame="1"/>
          <w:lang w:eastAsia="tr-TR"/>
        </w:rPr>
        <w:t>5.7</w:t>
      </w:r>
      <w:proofErr w:type="gramEnd"/>
      <w:r w:rsidRPr="0045530E">
        <w:rPr>
          <w:rFonts w:ascii="inherit" w:eastAsia="Times New Roman" w:hAnsi="inherit" w:cs="Arial"/>
          <w:i/>
          <w:iCs/>
          <w:color w:val="222222"/>
          <w:sz w:val="21"/>
          <w:szCs w:val="21"/>
          <w:bdr w:val="none" w:sz="0" w:space="0" w:color="auto" w:frame="1"/>
          <w:lang w:eastAsia="tr-TR"/>
        </w:rPr>
        <w:t>)].</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169" w:name="Lf2c67959-dc38-463e-8860-8be5e774245a"/>
      <w:bookmarkStart w:id="170" w:name="section-15.8"/>
      <w:bookmarkEnd w:id="169"/>
      <w:bookmarkEnd w:id="170"/>
      <w:r w:rsidRPr="0045530E">
        <w:rPr>
          <w:rFonts w:ascii="inherit" w:eastAsia="Times New Roman" w:hAnsi="inherit" w:cs="Arial"/>
          <w:b/>
          <w:bCs/>
          <w:color w:val="222222"/>
          <w:sz w:val="36"/>
          <w:szCs w:val="36"/>
          <w:lang w:eastAsia="tr-TR"/>
        </w:rPr>
        <w:t>17.8 Effects During Pregnancy</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Patients should be informed that in late pregnancy celecoxib should be avoided because it may cause premature closure of the ductus arteriosus </w:t>
      </w:r>
      <w:r w:rsidRPr="0045530E">
        <w:rPr>
          <w:rFonts w:ascii="inherit" w:eastAsia="Times New Roman" w:hAnsi="inherit" w:cs="Arial"/>
          <w:i/>
          <w:iCs/>
          <w:color w:val="222222"/>
          <w:sz w:val="21"/>
          <w:szCs w:val="21"/>
          <w:bdr w:val="none" w:sz="0" w:space="0" w:color="auto" w:frame="1"/>
          <w:lang w:eastAsia="tr-TR"/>
        </w:rPr>
        <w:t>[see Warnings and Precautions (</w:t>
      </w:r>
      <w:proofErr w:type="gramStart"/>
      <w:r w:rsidRPr="0045530E">
        <w:rPr>
          <w:rFonts w:ascii="inherit" w:eastAsia="Times New Roman" w:hAnsi="inherit" w:cs="Arial"/>
          <w:i/>
          <w:iCs/>
          <w:color w:val="222222"/>
          <w:sz w:val="21"/>
          <w:szCs w:val="21"/>
          <w:bdr w:val="none" w:sz="0" w:space="0" w:color="auto" w:frame="1"/>
          <w:lang w:eastAsia="tr-TR"/>
        </w:rPr>
        <w:t>5.9</w:t>
      </w:r>
      <w:proofErr w:type="gramEnd"/>
      <w:r w:rsidRPr="0045530E">
        <w:rPr>
          <w:rFonts w:ascii="inherit" w:eastAsia="Times New Roman" w:hAnsi="inherit" w:cs="Arial"/>
          <w:i/>
          <w:iCs/>
          <w:color w:val="222222"/>
          <w:sz w:val="21"/>
          <w:szCs w:val="21"/>
          <w:bdr w:val="none" w:sz="0" w:space="0" w:color="auto" w:frame="1"/>
          <w:lang w:eastAsia="tr-TR"/>
        </w:rPr>
        <w:t>), Use in Specific Populations (8.1)].</w:t>
      </w:r>
    </w:p>
    <w:p w:rsidR="0045530E" w:rsidRPr="0045530E" w:rsidRDefault="0045530E" w:rsidP="0045530E">
      <w:pPr>
        <w:shd w:val="clear" w:color="auto" w:fill="FFFFFF"/>
        <w:spacing w:after="48" w:line="270" w:lineRule="atLeast"/>
        <w:ind w:left="450"/>
        <w:textAlignment w:val="baseline"/>
        <w:outlineLvl w:val="1"/>
        <w:rPr>
          <w:rFonts w:ascii="inherit" w:eastAsia="Times New Roman" w:hAnsi="inherit" w:cs="Arial"/>
          <w:b/>
          <w:bCs/>
          <w:color w:val="222222"/>
          <w:sz w:val="36"/>
          <w:szCs w:val="36"/>
          <w:lang w:eastAsia="tr-TR"/>
        </w:rPr>
      </w:pPr>
      <w:bookmarkStart w:id="171" w:name="L26ced671-c865-459f-acd4-eaece946cc39"/>
      <w:bookmarkStart w:id="172" w:name="section-15.9"/>
      <w:bookmarkEnd w:id="171"/>
      <w:bookmarkEnd w:id="172"/>
      <w:r w:rsidRPr="0045530E">
        <w:rPr>
          <w:rFonts w:ascii="inherit" w:eastAsia="Times New Roman" w:hAnsi="inherit" w:cs="Arial"/>
          <w:b/>
          <w:bCs/>
          <w:color w:val="222222"/>
          <w:sz w:val="36"/>
          <w:szCs w:val="36"/>
          <w:lang w:eastAsia="tr-TR"/>
        </w:rPr>
        <w:t>17.9 Preexisting Asthma</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Patients should be instructed to tell their physicians if they have a history of asthma or aspirinsensitive asthma because the use of NSAIDs in patients with aspirin-sensitive asthma has been associated with severe bronchospasm, which can be fatal. Patients with this form of aspirin sensitivity should be instructed not to take celecoxib. Patients with preexisting asthma should be instructed to seek immediate medical attention if their asthma worsens after taking celecoxib </w:t>
      </w:r>
      <w:r w:rsidRPr="0045530E">
        <w:rPr>
          <w:rFonts w:ascii="inherit" w:eastAsia="Times New Roman" w:hAnsi="inherit" w:cs="Arial"/>
          <w:i/>
          <w:iCs/>
          <w:color w:val="222222"/>
          <w:sz w:val="21"/>
          <w:szCs w:val="21"/>
          <w:bdr w:val="none" w:sz="0" w:space="0" w:color="auto" w:frame="1"/>
          <w:lang w:eastAsia="tr-TR"/>
        </w:rPr>
        <w:t>[see Warnings and Precautions (5.13)].</w:t>
      </w:r>
    </w:p>
    <w:p w:rsidR="0045530E" w:rsidRPr="0045530E" w:rsidRDefault="0045530E" w:rsidP="0045530E">
      <w:pPr>
        <w:shd w:val="clear" w:color="auto" w:fill="FFFFFF"/>
        <w:spacing w:after="75" w:line="240" w:lineRule="auto"/>
        <w:ind w:left="450"/>
        <w:textAlignment w:val="baseline"/>
        <w:rPr>
          <w:rFonts w:ascii="inherit" w:eastAsia="Times New Roman" w:hAnsi="inherit" w:cs="Arial"/>
          <w:color w:val="222222"/>
          <w:sz w:val="21"/>
          <w:szCs w:val="21"/>
          <w:lang w:eastAsia="tr-TR"/>
        </w:rPr>
      </w:pPr>
      <w:hyperlink r:id="rId167" w:history="1">
        <w:r w:rsidRPr="0045530E">
          <w:rPr>
            <w:rFonts w:ascii="Arial" w:eastAsia="Times New Roman" w:hAnsi="Arial" w:cs="Arial"/>
            <w:caps/>
            <w:color w:val="1D86BB"/>
            <w:sz w:val="18"/>
            <w:szCs w:val="18"/>
            <w:u w:val="single"/>
            <w:bdr w:val="none" w:sz="0" w:space="0" w:color="auto" w:frame="1"/>
            <w:lang w:eastAsia="tr-TR"/>
          </w:rPr>
          <w:t>CLOSE</w:t>
        </w:r>
      </w:hyperlink>
    </w:p>
    <w:p w:rsidR="0045530E" w:rsidRPr="0045530E" w:rsidRDefault="0045530E" w:rsidP="0045530E">
      <w:pPr>
        <w:numPr>
          <w:ilvl w:val="0"/>
          <w:numId w:val="9"/>
        </w:numPr>
        <w:shd w:val="clear" w:color="auto" w:fill="FFFFFF"/>
        <w:spacing w:after="0" w:line="240" w:lineRule="auto"/>
        <w:ind w:left="0"/>
        <w:textAlignment w:val="baseline"/>
        <w:rPr>
          <w:rFonts w:ascii="inherit" w:eastAsia="Times New Roman" w:hAnsi="inherit" w:cs="Arial"/>
          <w:color w:val="222222"/>
          <w:sz w:val="21"/>
          <w:szCs w:val="21"/>
          <w:lang w:eastAsia="tr-TR"/>
        </w:rPr>
      </w:pPr>
      <w:hyperlink r:id="rId168" w:history="1">
        <w:r w:rsidRPr="0045530E">
          <w:rPr>
            <w:rFonts w:ascii="Arial" w:eastAsia="Times New Roman" w:hAnsi="Arial" w:cs="Arial"/>
            <w:caps/>
            <w:color w:val="000000"/>
            <w:sz w:val="30"/>
            <w:szCs w:val="30"/>
            <w:u w:val="single"/>
            <w:bdr w:val="none" w:sz="0" w:space="0" w:color="auto" w:frame="1"/>
            <w:lang w:eastAsia="tr-TR"/>
          </w:rPr>
          <w:t>MEDICATION GUIDE</w:t>
        </w:r>
      </w:hyperlink>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bookmarkStart w:id="173" w:name="L8ffe36cc-9fa4-4910-9ce9-4d3c26602ada"/>
      <w:bookmarkStart w:id="174" w:name="section-16"/>
      <w:bookmarkEnd w:id="173"/>
      <w:bookmarkEnd w:id="174"/>
      <w:r w:rsidRPr="0045530E">
        <w:rPr>
          <w:rFonts w:ascii="inherit" w:eastAsia="Times New Roman" w:hAnsi="inherit" w:cs="Arial"/>
          <w:b/>
          <w:bCs/>
          <w:color w:val="222222"/>
          <w:sz w:val="21"/>
          <w:szCs w:val="21"/>
          <w:u w:val="single"/>
          <w:bdr w:val="none" w:sz="0" w:space="0" w:color="auto" w:frame="1"/>
          <w:lang w:eastAsia="tr-TR"/>
        </w:rPr>
        <w:t>Medication Guide for Non-Steroidal Anti-Inflammatory Drugs (NSAIDs)</w:t>
      </w:r>
    </w:p>
    <w:p w:rsidR="0045530E" w:rsidRPr="0045530E" w:rsidRDefault="0045530E" w:rsidP="0045530E">
      <w:pPr>
        <w:shd w:val="clear" w:color="auto" w:fill="FFFFFF"/>
        <w:spacing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u w:val="single"/>
          <w:bdr w:val="none" w:sz="0" w:space="0" w:color="auto" w:frame="1"/>
          <w:lang w:eastAsia="tr-TR"/>
        </w:rPr>
        <w:t>(See the end of this Medication Guide for a list of prescription NSAID medicines.)</w:t>
      </w:r>
    </w:p>
    <w:tbl>
      <w:tblPr>
        <w:tblW w:w="5000" w:type="pct"/>
        <w:tblCellMar>
          <w:left w:w="0" w:type="dxa"/>
          <w:right w:w="0" w:type="dxa"/>
        </w:tblCellMar>
        <w:tblLook w:val="04A0" w:firstRow="1" w:lastRow="0" w:firstColumn="1" w:lastColumn="0" w:noHBand="0" w:noVBand="1"/>
      </w:tblPr>
      <w:tblGrid>
        <w:gridCol w:w="9252"/>
      </w:tblGrid>
      <w:tr w:rsidR="0045530E" w:rsidRPr="0045530E" w:rsidTr="0045530E">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sz w:val="24"/>
                <w:szCs w:val="24"/>
                <w:bdr w:val="none" w:sz="0" w:space="0" w:color="auto" w:frame="1"/>
                <w:lang w:eastAsia="tr-TR"/>
              </w:rPr>
              <w:t>What is the most important information I should know about medicines called Non-Steroidal Anti-Inflammatory Drugs (NSAIDs)?</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sz w:val="24"/>
                <w:szCs w:val="24"/>
                <w:bdr w:val="none" w:sz="0" w:space="0" w:color="auto" w:frame="1"/>
                <w:lang w:eastAsia="tr-TR"/>
              </w:rPr>
              <w:t>NSAID medicines may increase the chance of a heart attack or stroke that can lead to death</w:t>
            </w:r>
            <w:r w:rsidRPr="0045530E">
              <w:rPr>
                <w:rFonts w:ascii="inherit" w:eastAsia="Times New Roman" w:hAnsi="inherit" w:cs="Times New Roman"/>
                <w:sz w:val="24"/>
                <w:szCs w:val="24"/>
                <w:lang w:eastAsia="tr-TR"/>
              </w:rPr>
              <w:t> </w:t>
            </w:r>
            <w:r w:rsidRPr="0045530E">
              <w:rPr>
                <w:rFonts w:ascii="inherit" w:eastAsia="Times New Roman" w:hAnsi="inherit" w:cs="Times New Roman"/>
                <w:sz w:val="24"/>
                <w:szCs w:val="24"/>
                <w:lang w:eastAsia="tr-TR"/>
              </w:rPr>
              <w:br/>
              <w:t>This chance increases:</w:t>
            </w:r>
            <w:r w:rsidRPr="0045530E">
              <w:rPr>
                <w:rFonts w:ascii="inherit" w:eastAsia="Times New Roman" w:hAnsi="inherit" w:cs="Times New Roman"/>
                <w:sz w:val="24"/>
                <w:szCs w:val="24"/>
                <w:lang w:eastAsia="tr-TR"/>
              </w:rPr>
              <w:br/>
              <w:t>• with longer use of NSAID medicines</w:t>
            </w:r>
            <w:r w:rsidRPr="0045530E">
              <w:rPr>
                <w:rFonts w:ascii="inherit" w:eastAsia="Times New Roman" w:hAnsi="inherit" w:cs="Times New Roman"/>
                <w:sz w:val="24"/>
                <w:szCs w:val="24"/>
                <w:lang w:eastAsia="tr-TR"/>
              </w:rPr>
              <w:br/>
              <w:t>• in people who have heart disease</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sz w:val="24"/>
                <w:szCs w:val="24"/>
                <w:bdr w:val="none" w:sz="0" w:space="0" w:color="auto" w:frame="1"/>
                <w:lang w:eastAsia="tr-TR"/>
              </w:rPr>
              <w:t>NSAID medicines should never be used right before or after a heart surgery called a "coronary artery bypass graft (CABG)."</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sz w:val="24"/>
                <w:szCs w:val="24"/>
                <w:bdr w:val="none" w:sz="0" w:space="0" w:color="auto" w:frame="1"/>
                <w:lang w:eastAsia="tr-TR"/>
              </w:rPr>
              <w:t>NSAID medicines can cause ulcers and bleeding in the stomach and intestines at any time during treatment. Ulcers and bleeding:</w:t>
            </w:r>
            <w:r w:rsidRPr="0045530E">
              <w:rPr>
                <w:rFonts w:ascii="inherit" w:eastAsia="Times New Roman" w:hAnsi="inherit" w:cs="Times New Roman"/>
                <w:sz w:val="24"/>
                <w:szCs w:val="24"/>
                <w:lang w:eastAsia="tr-TR"/>
              </w:rPr>
              <w:t> </w:t>
            </w:r>
            <w:r w:rsidRPr="0045530E">
              <w:rPr>
                <w:rFonts w:ascii="inherit" w:eastAsia="Times New Roman" w:hAnsi="inherit" w:cs="Times New Roman"/>
                <w:sz w:val="24"/>
                <w:szCs w:val="24"/>
                <w:lang w:eastAsia="tr-TR"/>
              </w:rPr>
              <w:br/>
              <w:t>• can happen without warning symptoms</w:t>
            </w:r>
            <w:r w:rsidRPr="0045530E">
              <w:rPr>
                <w:rFonts w:ascii="inherit" w:eastAsia="Times New Roman" w:hAnsi="inherit" w:cs="Times New Roman"/>
                <w:sz w:val="24"/>
                <w:szCs w:val="24"/>
                <w:lang w:eastAsia="tr-TR"/>
              </w:rPr>
              <w:br/>
              <w:t>• may cause death </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sz w:val="24"/>
                <w:szCs w:val="24"/>
                <w:bdr w:val="none" w:sz="0" w:space="0" w:color="auto" w:frame="1"/>
                <w:lang w:eastAsia="tr-TR"/>
              </w:rPr>
              <w:t>The chance of a person getting an ulcer or bleeding increases with:</w:t>
            </w:r>
            <w:r w:rsidRPr="0045530E">
              <w:rPr>
                <w:rFonts w:ascii="inherit" w:eastAsia="Times New Roman" w:hAnsi="inherit" w:cs="Times New Roman"/>
                <w:sz w:val="24"/>
                <w:szCs w:val="24"/>
                <w:lang w:eastAsia="tr-TR"/>
              </w:rPr>
              <w:t> </w:t>
            </w:r>
            <w:r w:rsidRPr="0045530E">
              <w:rPr>
                <w:rFonts w:ascii="inherit" w:eastAsia="Times New Roman" w:hAnsi="inherit" w:cs="Times New Roman"/>
                <w:sz w:val="24"/>
                <w:szCs w:val="24"/>
                <w:lang w:eastAsia="tr-TR"/>
              </w:rPr>
              <w:br/>
              <w:t>• taking medicines called corticosteroids and anticoagulants</w:t>
            </w:r>
            <w:r w:rsidRPr="0045530E">
              <w:rPr>
                <w:rFonts w:ascii="inherit" w:eastAsia="Times New Roman" w:hAnsi="inherit" w:cs="Times New Roman"/>
                <w:sz w:val="24"/>
                <w:szCs w:val="24"/>
                <w:lang w:eastAsia="tr-TR"/>
              </w:rPr>
              <w:br/>
              <w:t>• longer use</w:t>
            </w:r>
            <w:r w:rsidRPr="0045530E">
              <w:rPr>
                <w:rFonts w:ascii="inherit" w:eastAsia="Times New Roman" w:hAnsi="inherit" w:cs="Times New Roman"/>
                <w:sz w:val="24"/>
                <w:szCs w:val="24"/>
                <w:lang w:eastAsia="tr-TR"/>
              </w:rPr>
              <w:br/>
              <w:t>• smoking</w:t>
            </w:r>
            <w:r w:rsidRPr="0045530E">
              <w:rPr>
                <w:rFonts w:ascii="inherit" w:eastAsia="Times New Roman" w:hAnsi="inherit" w:cs="Times New Roman"/>
                <w:sz w:val="24"/>
                <w:szCs w:val="24"/>
                <w:lang w:eastAsia="tr-TR"/>
              </w:rPr>
              <w:br/>
              <w:t>• drinking alcohol</w:t>
            </w:r>
            <w:r w:rsidRPr="0045530E">
              <w:rPr>
                <w:rFonts w:ascii="inherit" w:eastAsia="Times New Roman" w:hAnsi="inherit" w:cs="Times New Roman"/>
                <w:sz w:val="24"/>
                <w:szCs w:val="24"/>
                <w:lang w:eastAsia="tr-TR"/>
              </w:rPr>
              <w:br/>
              <w:t>• older age</w:t>
            </w:r>
            <w:r w:rsidRPr="0045530E">
              <w:rPr>
                <w:rFonts w:ascii="inherit" w:eastAsia="Times New Roman" w:hAnsi="inherit" w:cs="Times New Roman"/>
                <w:sz w:val="24"/>
                <w:szCs w:val="24"/>
                <w:lang w:eastAsia="tr-TR"/>
              </w:rPr>
              <w:br/>
              <w:t>• having poor health</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sz w:val="24"/>
                <w:szCs w:val="24"/>
                <w:bdr w:val="none" w:sz="0" w:space="0" w:color="auto" w:frame="1"/>
                <w:lang w:eastAsia="tr-TR"/>
              </w:rPr>
              <w:t>NSAID medicines should only be used:</w:t>
            </w:r>
            <w:r w:rsidRPr="0045530E">
              <w:rPr>
                <w:rFonts w:ascii="inherit" w:eastAsia="Times New Roman" w:hAnsi="inherit" w:cs="Times New Roman"/>
                <w:sz w:val="24"/>
                <w:szCs w:val="24"/>
                <w:lang w:eastAsia="tr-TR"/>
              </w:rPr>
              <w:t> </w:t>
            </w:r>
            <w:r w:rsidRPr="0045530E">
              <w:rPr>
                <w:rFonts w:ascii="inherit" w:eastAsia="Times New Roman" w:hAnsi="inherit" w:cs="Times New Roman"/>
                <w:sz w:val="24"/>
                <w:szCs w:val="24"/>
                <w:lang w:eastAsia="tr-TR"/>
              </w:rPr>
              <w:br/>
              <w:t>• exactly as prescribed</w:t>
            </w:r>
            <w:r w:rsidRPr="0045530E">
              <w:rPr>
                <w:rFonts w:ascii="inherit" w:eastAsia="Times New Roman" w:hAnsi="inherit" w:cs="Times New Roman"/>
                <w:sz w:val="24"/>
                <w:szCs w:val="24"/>
                <w:lang w:eastAsia="tr-TR"/>
              </w:rPr>
              <w:br/>
              <w:t>• at the lowest dose possible for your treatment</w:t>
            </w:r>
            <w:r w:rsidRPr="0045530E">
              <w:rPr>
                <w:rFonts w:ascii="inherit" w:eastAsia="Times New Roman" w:hAnsi="inherit" w:cs="Times New Roman"/>
                <w:sz w:val="24"/>
                <w:szCs w:val="24"/>
                <w:lang w:eastAsia="tr-TR"/>
              </w:rPr>
              <w:br/>
              <w:t>• for the shortest time needed</w:t>
            </w:r>
          </w:p>
        </w:tc>
      </w:tr>
    </w:tbl>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color w:val="222222"/>
          <w:sz w:val="21"/>
          <w:szCs w:val="21"/>
          <w:bdr w:val="none" w:sz="0" w:space="0" w:color="auto" w:frame="1"/>
          <w:lang w:eastAsia="tr-TR"/>
        </w:rPr>
        <w:t>What are Non-Steroidal Anti-Inflammatory Drugs (NSAIDs)?</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br/>
        <w:t>NSAID medicines are used to treat pain and redness, swelling, and heat (inflammation) from medical conditions such as:</w:t>
      </w:r>
      <w:r w:rsidRPr="0045530E">
        <w:rPr>
          <w:rFonts w:ascii="inherit" w:eastAsia="Times New Roman" w:hAnsi="inherit" w:cs="Arial"/>
          <w:color w:val="222222"/>
          <w:sz w:val="21"/>
          <w:szCs w:val="21"/>
          <w:lang w:eastAsia="tr-TR"/>
        </w:rPr>
        <w:br/>
        <w:t>• different types of arthritis</w:t>
      </w:r>
      <w:r w:rsidRPr="0045530E">
        <w:rPr>
          <w:rFonts w:ascii="inherit" w:eastAsia="Times New Roman" w:hAnsi="inherit" w:cs="Arial"/>
          <w:color w:val="222222"/>
          <w:sz w:val="21"/>
          <w:szCs w:val="21"/>
          <w:lang w:eastAsia="tr-TR"/>
        </w:rPr>
        <w:br/>
        <w:t>• menstrual cramps and other types of short-term pain</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br/>
      </w:r>
      <w:r w:rsidRPr="0045530E">
        <w:rPr>
          <w:rFonts w:ascii="inherit" w:eastAsia="Times New Roman" w:hAnsi="inherit" w:cs="Arial"/>
          <w:b/>
          <w:bCs/>
          <w:color w:val="222222"/>
          <w:sz w:val="21"/>
          <w:szCs w:val="21"/>
          <w:bdr w:val="none" w:sz="0" w:space="0" w:color="auto" w:frame="1"/>
          <w:lang w:eastAsia="tr-TR"/>
        </w:rPr>
        <w:t>Who should not take a Non-Steroidal Anti-Inflammatory Drug (NSAID)?</w:t>
      </w:r>
      <w:r w:rsidRPr="0045530E">
        <w:rPr>
          <w:rFonts w:ascii="inherit" w:eastAsia="Times New Roman" w:hAnsi="inherit" w:cs="Arial"/>
          <w:color w:val="222222"/>
          <w:sz w:val="21"/>
          <w:szCs w:val="21"/>
          <w:lang w:eastAsia="tr-TR"/>
        </w:rPr>
        <w:t> </w:t>
      </w:r>
      <w:r w:rsidRPr="0045530E">
        <w:rPr>
          <w:rFonts w:ascii="inherit" w:eastAsia="Times New Roman" w:hAnsi="inherit" w:cs="Arial"/>
          <w:color w:val="222222"/>
          <w:sz w:val="21"/>
          <w:szCs w:val="21"/>
          <w:lang w:eastAsia="tr-TR"/>
        </w:rPr>
        <w:br/>
      </w:r>
      <w:r w:rsidRPr="0045530E">
        <w:rPr>
          <w:rFonts w:ascii="inherit" w:eastAsia="Times New Roman" w:hAnsi="inherit" w:cs="Arial"/>
          <w:b/>
          <w:bCs/>
          <w:color w:val="222222"/>
          <w:sz w:val="21"/>
          <w:szCs w:val="21"/>
          <w:bdr w:val="none" w:sz="0" w:space="0" w:color="auto" w:frame="1"/>
          <w:lang w:eastAsia="tr-TR"/>
        </w:rPr>
        <w:t>Do not take an NSAID medicine:</w:t>
      </w:r>
      <w:r w:rsidRPr="0045530E">
        <w:rPr>
          <w:rFonts w:ascii="inherit" w:eastAsia="Times New Roman" w:hAnsi="inherit" w:cs="Arial"/>
          <w:color w:val="222222"/>
          <w:sz w:val="21"/>
          <w:szCs w:val="21"/>
          <w:lang w:eastAsia="tr-TR"/>
        </w:rPr>
        <w:t> </w:t>
      </w:r>
      <w:r w:rsidRPr="0045530E">
        <w:rPr>
          <w:rFonts w:ascii="inherit" w:eastAsia="Times New Roman" w:hAnsi="inherit" w:cs="Arial"/>
          <w:color w:val="222222"/>
          <w:sz w:val="21"/>
          <w:szCs w:val="21"/>
          <w:lang w:eastAsia="tr-TR"/>
        </w:rPr>
        <w:br/>
        <w:t>• if you had an asthma attack, hives, or other allergic reaction with aspirin or any other NSAID medicine</w:t>
      </w:r>
      <w:r w:rsidRPr="0045530E">
        <w:rPr>
          <w:rFonts w:ascii="inherit" w:eastAsia="Times New Roman" w:hAnsi="inherit" w:cs="Arial"/>
          <w:color w:val="222222"/>
          <w:sz w:val="21"/>
          <w:szCs w:val="21"/>
          <w:lang w:eastAsia="tr-TR"/>
        </w:rPr>
        <w:br/>
        <w:t>• for pain right before or after heart bypass surgery</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color w:val="222222"/>
          <w:sz w:val="21"/>
          <w:szCs w:val="21"/>
          <w:bdr w:val="none" w:sz="0" w:space="0" w:color="auto" w:frame="1"/>
          <w:lang w:eastAsia="tr-TR"/>
        </w:rPr>
        <w:t>Tell your healthcare provider:</w:t>
      </w:r>
      <w:r w:rsidRPr="0045530E">
        <w:rPr>
          <w:rFonts w:ascii="inherit" w:eastAsia="Times New Roman" w:hAnsi="inherit" w:cs="Arial"/>
          <w:color w:val="222222"/>
          <w:sz w:val="21"/>
          <w:szCs w:val="21"/>
          <w:lang w:eastAsia="tr-TR"/>
        </w:rPr>
        <w:t> </w:t>
      </w:r>
      <w:r w:rsidRPr="0045530E">
        <w:rPr>
          <w:rFonts w:ascii="inherit" w:eastAsia="Times New Roman" w:hAnsi="inherit" w:cs="Arial"/>
          <w:color w:val="222222"/>
          <w:sz w:val="21"/>
          <w:szCs w:val="21"/>
          <w:lang w:eastAsia="tr-TR"/>
        </w:rPr>
        <w:br/>
        <w:t>• about all of your medical conditions.</w:t>
      </w:r>
      <w:r w:rsidRPr="0045530E">
        <w:rPr>
          <w:rFonts w:ascii="inherit" w:eastAsia="Times New Roman" w:hAnsi="inherit" w:cs="Arial"/>
          <w:color w:val="222222"/>
          <w:sz w:val="21"/>
          <w:szCs w:val="21"/>
          <w:lang w:eastAsia="tr-TR"/>
        </w:rPr>
        <w:br/>
        <w:t>• about all of the medicines you take. NSAIDs and some other medicines can interact with each other and cause serious side effects. </w:t>
      </w:r>
      <w:r w:rsidRPr="0045530E">
        <w:rPr>
          <w:rFonts w:ascii="inherit" w:eastAsia="Times New Roman" w:hAnsi="inherit" w:cs="Arial"/>
          <w:b/>
          <w:bCs/>
          <w:color w:val="222222"/>
          <w:sz w:val="21"/>
          <w:szCs w:val="21"/>
          <w:bdr w:val="none" w:sz="0" w:space="0" w:color="auto" w:frame="1"/>
          <w:lang w:eastAsia="tr-TR"/>
        </w:rPr>
        <w:t>Keep a list of your medicines to show to your healthcare provider and pharmacist.</w:t>
      </w:r>
      <w:r w:rsidRPr="0045530E">
        <w:rPr>
          <w:rFonts w:ascii="inherit" w:eastAsia="Times New Roman" w:hAnsi="inherit" w:cs="Arial"/>
          <w:color w:val="222222"/>
          <w:sz w:val="21"/>
          <w:szCs w:val="21"/>
          <w:lang w:eastAsia="tr-TR"/>
        </w:rPr>
        <w:t> </w:t>
      </w:r>
      <w:r w:rsidRPr="0045530E">
        <w:rPr>
          <w:rFonts w:ascii="inherit" w:eastAsia="Times New Roman" w:hAnsi="inherit" w:cs="Arial"/>
          <w:color w:val="222222"/>
          <w:sz w:val="21"/>
          <w:szCs w:val="21"/>
          <w:lang w:eastAsia="tr-TR"/>
        </w:rPr>
        <w:br/>
        <w:t>• if you are pregnant. </w:t>
      </w:r>
      <w:r w:rsidRPr="0045530E">
        <w:rPr>
          <w:rFonts w:ascii="inherit" w:eastAsia="Times New Roman" w:hAnsi="inherit" w:cs="Arial"/>
          <w:b/>
          <w:bCs/>
          <w:color w:val="222222"/>
          <w:sz w:val="21"/>
          <w:szCs w:val="21"/>
          <w:bdr w:val="none" w:sz="0" w:space="0" w:color="auto" w:frame="1"/>
          <w:lang w:eastAsia="tr-TR"/>
        </w:rPr>
        <w:t>NSAID medicines should not be used by pregnant women late in their pregnancy</w:t>
      </w:r>
      <w:r w:rsidRPr="0045530E">
        <w:rPr>
          <w:rFonts w:ascii="inherit" w:eastAsia="Times New Roman" w:hAnsi="inherit" w:cs="Arial"/>
          <w:color w:val="222222"/>
          <w:sz w:val="21"/>
          <w:szCs w:val="21"/>
          <w:lang w:eastAsia="tr-TR"/>
        </w:rPr>
        <w:t>.</w:t>
      </w:r>
      <w:r w:rsidRPr="0045530E">
        <w:rPr>
          <w:rFonts w:ascii="inherit" w:eastAsia="Times New Roman" w:hAnsi="inherit" w:cs="Arial"/>
          <w:color w:val="222222"/>
          <w:sz w:val="21"/>
          <w:szCs w:val="21"/>
          <w:lang w:eastAsia="tr-TR"/>
        </w:rPr>
        <w:br/>
        <w:t>• if you are breastfeeding. </w:t>
      </w:r>
      <w:r w:rsidRPr="0045530E">
        <w:rPr>
          <w:rFonts w:ascii="inherit" w:eastAsia="Times New Roman" w:hAnsi="inherit" w:cs="Arial"/>
          <w:b/>
          <w:bCs/>
          <w:color w:val="222222"/>
          <w:sz w:val="21"/>
          <w:szCs w:val="21"/>
          <w:bdr w:val="none" w:sz="0" w:space="0" w:color="auto" w:frame="1"/>
          <w:lang w:eastAsia="tr-TR"/>
        </w:rPr>
        <w:t>Talk to your doctor</w:t>
      </w:r>
      <w:r w:rsidRPr="0045530E">
        <w:rPr>
          <w:rFonts w:ascii="inherit" w:eastAsia="Times New Roman" w:hAnsi="inherit" w:cs="Arial"/>
          <w:color w:val="222222"/>
          <w:sz w:val="21"/>
          <w:szCs w:val="21"/>
          <w:lang w:eastAsia="tr-TR"/>
        </w:rPr>
        <w:t>.</w:t>
      </w:r>
    </w:p>
    <w:p w:rsidR="0045530E" w:rsidRPr="0045530E" w:rsidRDefault="0045530E" w:rsidP="0045530E">
      <w:pPr>
        <w:shd w:val="clear" w:color="auto" w:fill="FFFFFF"/>
        <w:spacing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color w:val="222222"/>
          <w:sz w:val="21"/>
          <w:szCs w:val="21"/>
          <w:bdr w:val="none" w:sz="0" w:space="0" w:color="auto" w:frame="1"/>
          <w:lang w:eastAsia="tr-TR"/>
        </w:rPr>
        <w:t>What are the possible side effects of Non-Steroidal Anti-Inflammatory Drugs (NSAIDs)?</w:t>
      </w:r>
    </w:p>
    <w:tbl>
      <w:tblPr>
        <w:tblW w:w="5000" w:type="pct"/>
        <w:tblCellMar>
          <w:left w:w="0" w:type="dxa"/>
          <w:right w:w="0" w:type="dxa"/>
        </w:tblCellMar>
        <w:tblLook w:val="04A0" w:firstRow="1" w:lastRow="0" w:firstColumn="1" w:lastColumn="0" w:noHBand="0" w:noVBand="1"/>
      </w:tblPr>
      <w:tblGrid>
        <w:gridCol w:w="5853"/>
        <w:gridCol w:w="3399"/>
      </w:tblGrid>
      <w:tr w:rsidR="0045530E" w:rsidRPr="0045530E" w:rsidTr="0045530E">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sz w:val="24"/>
                <w:szCs w:val="24"/>
                <w:bdr w:val="none" w:sz="0" w:space="0" w:color="auto" w:frame="1"/>
                <w:lang w:eastAsia="tr-TR"/>
              </w:rPr>
              <w:t> Serious side effects include:</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sz w:val="24"/>
                <w:szCs w:val="24"/>
                <w:bdr w:val="none" w:sz="0" w:space="0" w:color="auto" w:frame="1"/>
                <w:lang w:eastAsia="tr-TR"/>
              </w:rPr>
              <w:t> Other side effects include:</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proofErr w:type="gramStart"/>
            <w:r w:rsidRPr="0045530E">
              <w:rPr>
                <w:rFonts w:ascii="inherit" w:eastAsia="Times New Roman" w:hAnsi="inherit" w:cs="Times New Roman"/>
                <w:sz w:val="24"/>
                <w:szCs w:val="24"/>
                <w:lang w:eastAsia="tr-TR"/>
              </w:rPr>
              <w:t>• heart attack</w:t>
            </w:r>
            <w:r w:rsidRPr="0045530E">
              <w:rPr>
                <w:rFonts w:ascii="inherit" w:eastAsia="Times New Roman" w:hAnsi="inherit" w:cs="Times New Roman"/>
                <w:sz w:val="24"/>
                <w:szCs w:val="24"/>
                <w:lang w:eastAsia="tr-TR"/>
              </w:rPr>
              <w:br/>
              <w:t>• stroke</w:t>
            </w:r>
            <w:r w:rsidRPr="0045530E">
              <w:rPr>
                <w:rFonts w:ascii="inherit" w:eastAsia="Times New Roman" w:hAnsi="inherit" w:cs="Times New Roman"/>
                <w:sz w:val="24"/>
                <w:szCs w:val="24"/>
                <w:lang w:eastAsia="tr-TR"/>
              </w:rPr>
              <w:br/>
              <w:t>• high blood pressure</w:t>
            </w:r>
            <w:r w:rsidRPr="0045530E">
              <w:rPr>
                <w:rFonts w:ascii="inherit" w:eastAsia="Times New Roman" w:hAnsi="inherit" w:cs="Times New Roman"/>
                <w:sz w:val="24"/>
                <w:szCs w:val="24"/>
                <w:lang w:eastAsia="tr-TR"/>
              </w:rPr>
              <w:br/>
              <w:t>• heart failure from body swelling (fluid retention)</w:t>
            </w:r>
            <w:r w:rsidRPr="0045530E">
              <w:rPr>
                <w:rFonts w:ascii="inherit" w:eastAsia="Times New Roman" w:hAnsi="inherit" w:cs="Times New Roman"/>
                <w:sz w:val="24"/>
                <w:szCs w:val="24"/>
                <w:lang w:eastAsia="tr-TR"/>
              </w:rPr>
              <w:br/>
              <w:t>• kidney problems including kidney failure</w:t>
            </w:r>
            <w:r w:rsidRPr="0045530E">
              <w:rPr>
                <w:rFonts w:ascii="inherit" w:eastAsia="Times New Roman" w:hAnsi="inherit" w:cs="Times New Roman"/>
                <w:sz w:val="24"/>
                <w:szCs w:val="24"/>
                <w:lang w:eastAsia="tr-TR"/>
              </w:rPr>
              <w:br/>
              <w:t>• bleeding and ulcers in the stomach and intestine</w:t>
            </w:r>
            <w:r w:rsidRPr="0045530E">
              <w:rPr>
                <w:rFonts w:ascii="inherit" w:eastAsia="Times New Roman" w:hAnsi="inherit" w:cs="Times New Roman"/>
                <w:sz w:val="24"/>
                <w:szCs w:val="24"/>
                <w:lang w:eastAsia="tr-TR"/>
              </w:rPr>
              <w:br/>
              <w:t>• low red blood cells (anemia)</w:t>
            </w:r>
            <w:r w:rsidRPr="0045530E">
              <w:rPr>
                <w:rFonts w:ascii="inherit" w:eastAsia="Times New Roman" w:hAnsi="inherit" w:cs="Times New Roman"/>
                <w:sz w:val="24"/>
                <w:szCs w:val="24"/>
                <w:lang w:eastAsia="tr-TR"/>
              </w:rPr>
              <w:br/>
              <w:t>• life-threatening skin reactions</w:t>
            </w:r>
            <w:r w:rsidRPr="0045530E">
              <w:rPr>
                <w:rFonts w:ascii="inherit" w:eastAsia="Times New Roman" w:hAnsi="inherit" w:cs="Times New Roman"/>
                <w:sz w:val="24"/>
                <w:szCs w:val="24"/>
                <w:lang w:eastAsia="tr-TR"/>
              </w:rPr>
              <w:br/>
              <w:t>• life-threatening allergic reactions</w:t>
            </w:r>
            <w:r w:rsidRPr="0045530E">
              <w:rPr>
                <w:rFonts w:ascii="inherit" w:eastAsia="Times New Roman" w:hAnsi="inherit" w:cs="Times New Roman"/>
                <w:sz w:val="24"/>
                <w:szCs w:val="24"/>
                <w:lang w:eastAsia="tr-TR"/>
              </w:rPr>
              <w:br/>
              <w:t>• liver problems including liver failure</w:t>
            </w:r>
            <w:r w:rsidRPr="0045530E">
              <w:rPr>
                <w:rFonts w:ascii="inherit" w:eastAsia="Times New Roman" w:hAnsi="inherit" w:cs="Times New Roman"/>
                <w:sz w:val="24"/>
                <w:szCs w:val="24"/>
                <w:lang w:eastAsia="tr-TR"/>
              </w:rPr>
              <w:br/>
              <w:t>• asthma attacks in people who have asthma</w:t>
            </w:r>
            <w:proofErr w:type="gramEnd"/>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 stomach pain</w:t>
            </w:r>
            <w:r w:rsidRPr="0045530E">
              <w:rPr>
                <w:rFonts w:ascii="inherit" w:eastAsia="Times New Roman" w:hAnsi="inherit" w:cs="Times New Roman"/>
                <w:sz w:val="24"/>
                <w:szCs w:val="24"/>
                <w:lang w:eastAsia="tr-TR"/>
              </w:rPr>
              <w:br/>
              <w:t>• constipation</w:t>
            </w:r>
            <w:r w:rsidRPr="0045530E">
              <w:rPr>
                <w:rFonts w:ascii="inherit" w:eastAsia="Times New Roman" w:hAnsi="inherit" w:cs="Times New Roman"/>
                <w:sz w:val="24"/>
                <w:szCs w:val="24"/>
                <w:lang w:eastAsia="tr-TR"/>
              </w:rPr>
              <w:br/>
              <w:t>• diarrhea</w:t>
            </w:r>
            <w:r w:rsidRPr="0045530E">
              <w:rPr>
                <w:rFonts w:ascii="inherit" w:eastAsia="Times New Roman" w:hAnsi="inherit" w:cs="Times New Roman"/>
                <w:sz w:val="24"/>
                <w:szCs w:val="24"/>
                <w:lang w:eastAsia="tr-TR"/>
              </w:rPr>
              <w:br/>
              <w:t>• gas</w:t>
            </w:r>
            <w:r w:rsidRPr="0045530E">
              <w:rPr>
                <w:rFonts w:ascii="inherit" w:eastAsia="Times New Roman" w:hAnsi="inherit" w:cs="Times New Roman"/>
                <w:sz w:val="24"/>
                <w:szCs w:val="24"/>
                <w:lang w:eastAsia="tr-TR"/>
              </w:rPr>
              <w:br/>
              <w:t>• heartburn</w:t>
            </w:r>
            <w:r w:rsidRPr="0045530E">
              <w:rPr>
                <w:rFonts w:ascii="inherit" w:eastAsia="Times New Roman" w:hAnsi="inherit" w:cs="Times New Roman"/>
                <w:sz w:val="24"/>
                <w:szCs w:val="24"/>
                <w:lang w:eastAsia="tr-TR"/>
              </w:rPr>
              <w:br/>
              <w:t>• nausea</w:t>
            </w:r>
            <w:r w:rsidRPr="0045530E">
              <w:rPr>
                <w:rFonts w:ascii="inherit" w:eastAsia="Times New Roman" w:hAnsi="inherit" w:cs="Times New Roman"/>
                <w:sz w:val="24"/>
                <w:szCs w:val="24"/>
                <w:lang w:eastAsia="tr-TR"/>
              </w:rPr>
              <w:br/>
              <w:t>• vomiting</w:t>
            </w:r>
            <w:r w:rsidRPr="0045530E">
              <w:rPr>
                <w:rFonts w:ascii="inherit" w:eastAsia="Times New Roman" w:hAnsi="inherit" w:cs="Times New Roman"/>
                <w:sz w:val="24"/>
                <w:szCs w:val="24"/>
                <w:lang w:eastAsia="tr-TR"/>
              </w:rPr>
              <w:br/>
              <w:t>• dizziness</w:t>
            </w:r>
          </w:p>
        </w:tc>
      </w:tr>
    </w:tbl>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color w:val="222222"/>
          <w:sz w:val="21"/>
          <w:szCs w:val="21"/>
          <w:bdr w:val="none" w:sz="0" w:space="0" w:color="auto" w:frame="1"/>
          <w:lang w:eastAsia="tr-TR"/>
        </w:rPr>
        <w:t>Get emergency help right away if you have any of the following symptoms:</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 • shortness of breath or trouble breathing</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 • chest pain</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 • weakness in one part or side of your body</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 • slurred speech</w:t>
      </w:r>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 • swelling of the face or throat    </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color w:val="222222"/>
          <w:sz w:val="21"/>
          <w:szCs w:val="21"/>
          <w:bdr w:val="none" w:sz="0" w:space="0" w:color="auto" w:frame="1"/>
          <w:lang w:eastAsia="tr-TR"/>
        </w:rPr>
        <w:t>Stop your NSAID medicine and call your healthcare provider right away if you have any of the following symptoms:</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proofErr w:type="gramStart"/>
      <w:r w:rsidRPr="0045530E">
        <w:rPr>
          <w:rFonts w:ascii="inherit" w:eastAsia="Times New Roman" w:hAnsi="inherit" w:cs="Arial"/>
          <w:color w:val="222222"/>
          <w:sz w:val="21"/>
          <w:szCs w:val="21"/>
          <w:lang w:eastAsia="tr-TR"/>
        </w:rPr>
        <w:t>• nausea</w:t>
      </w:r>
      <w:r w:rsidRPr="0045530E">
        <w:rPr>
          <w:rFonts w:ascii="inherit" w:eastAsia="Times New Roman" w:hAnsi="inherit" w:cs="Arial"/>
          <w:color w:val="222222"/>
          <w:sz w:val="21"/>
          <w:szCs w:val="21"/>
          <w:lang w:eastAsia="tr-TR"/>
        </w:rPr>
        <w:br/>
        <w:t>• vomit blood</w:t>
      </w:r>
      <w:r w:rsidRPr="0045530E">
        <w:rPr>
          <w:rFonts w:ascii="inherit" w:eastAsia="Times New Roman" w:hAnsi="inherit" w:cs="Arial"/>
          <w:color w:val="222222"/>
          <w:sz w:val="21"/>
          <w:szCs w:val="21"/>
          <w:lang w:eastAsia="tr-TR"/>
        </w:rPr>
        <w:br/>
        <w:t>• more tired or weaker than usual</w:t>
      </w:r>
      <w:r w:rsidRPr="0045530E">
        <w:rPr>
          <w:rFonts w:ascii="inherit" w:eastAsia="Times New Roman" w:hAnsi="inherit" w:cs="Arial"/>
          <w:color w:val="222222"/>
          <w:sz w:val="21"/>
          <w:szCs w:val="21"/>
          <w:lang w:eastAsia="tr-TR"/>
        </w:rPr>
        <w:br/>
        <w:t>• there is blood in your bowel movement or it is black and sticky like tar</w:t>
      </w:r>
      <w:r w:rsidRPr="0045530E">
        <w:rPr>
          <w:rFonts w:ascii="inherit" w:eastAsia="Times New Roman" w:hAnsi="inherit" w:cs="Arial"/>
          <w:color w:val="222222"/>
          <w:sz w:val="21"/>
          <w:szCs w:val="21"/>
          <w:lang w:eastAsia="tr-TR"/>
        </w:rPr>
        <w:br/>
        <w:t>• itching</w:t>
      </w:r>
      <w:r w:rsidRPr="0045530E">
        <w:rPr>
          <w:rFonts w:ascii="inherit" w:eastAsia="Times New Roman" w:hAnsi="inherit" w:cs="Arial"/>
          <w:color w:val="222222"/>
          <w:sz w:val="21"/>
          <w:szCs w:val="21"/>
          <w:lang w:eastAsia="tr-TR"/>
        </w:rPr>
        <w:br/>
        <w:t>• your skin or eyes look yellow</w:t>
      </w:r>
      <w:r w:rsidRPr="0045530E">
        <w:rPr>
          <w:rFonts w:ascii="inherit" w:eastAsia="Times New Roman" w:hAnsi="inherit" w:cs="Arial"/>
          <w:color w:val="222222"/>
          <w:sz w:val="21"/>
          <w:szCs w:val="21"/>
          <w:lang w:eastAsia="tr-TR"/>
        </w:rPr>
        <w:br/>
        <w:t>• skin rash or blisters with fever</w:t>
      </w:r>
      <w:r w:rsidRPr="0045530E">
        <w:rPr>
          <w:rFonts w:ascii="inherit" w:eastAsia="Times New Roman" w:hAnsi="inherit" w:cs="Arial"/>
          <w:color w:val="222222"/>
          <w:sz w:val="21"/>
          <w:szCs w:val="21"/>
          <w:lang w:eastAsia="tr-TR"/>
        </w:rPr>
        <w:br/>
        <w:t>• stomach pain</w:t>
      </w:r>
      <w:r w:rsidRPr="0045530E">
        <w:rPr>
          <w:rFonts w:ascii="inherit" w:eastAsia="Times New Roman" w:hAnsi="inherit" w:cs="Arial"/>
          <w:color w:val="222222"/>
          <w:sz w:val="21"/>
          <w:szCs w:val="21"/>
          <w:lang w:eastAsia="tr-TR"/>
        </w:rPr>
        <w:br/>
        <w:t>• flu-like symptoms</w:t>
      </w:r>
      <w:r w:rsidRPr="0045530E">
        <w:rPr>
          <w:rFonts w:ascii="inherit" w:eastAsia="Times New Roman" w:hAnsi="inherit" w:cs="Arial"/>
          <w:color w:val="222222"/>
          <w:sz w:val="21"/>
          <w:szCs w:val="21"/>
          <w:lang w:eastAsia="tr-TR"/>
        </w:rPr>
        <w:br/>
        <w:t>• unusual weight gain</w:t>
      </w:r>
      <w:r w:rsidRPr="0045530E">
        <w:rPr>
          <w:rFonts w:ascii="inherit" w:eastAsia="Times New Roman" w:hAnsi="inherit" w:cs="Arial"/>
          <w:color w:val="222222"/>
          <w:sz w:val="21"/>
          <w:szCs w:val="21"/>
          <w:lang w:eastAsia="tr-TR"/>
        </w:rPr>
        <w:br/>
        <w:t>• swelling of the arms and legs, hands and feet</w:t>
      </w:r>
      <w:proofErr w:type="gramEnd"/>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These are not all the side effects with NSAID medicines. Talk to your healthcare provider or pharmacist for more information about NSAID medicines.</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color w:val="222222"/>
          <w:sz w:val="21"/>
          <w:szCs w:val="21"/>
          <w:bdr w:val="none" w:sz="0" w:space="0" w:color="auto" w:frame="1"/>
          <w:lang w:eastAsia="tr-TR"/>
        </w:rPr>
        <w:t>Call your doctor for medical advice about side effects. You may report side effects to FDA at 1-800-FDA-1088.</w:t>
      </w:r>
      <w:r w:rsidRPr="0045530E">
        <w:rPr>
          <w:rFonts w:ascii="inherit" w:eastAsia="Times New Roman" w:hAnsi="inherit" w:cs="Arial"/>
          <w:color w:val="222222"/>
          <w:sz w:val="21"/>
          <w:szCs w:val="21"/>
          <w:lang w:eastAsia="tr-TR"/>
        </w:rPr>
        <w:t> </w:t>
      </w:r>
      <w:r w:rsidRPr="0045530E">
        <w:rPr>
          <w:rFonts w:ascii="inherit" w:eastAsia="Times New Roman" w:hAnsi="inherit" w:cs="Arial"/>
          <w:color w:val="222222"/>
          <w:sz w:val="21"/>
          <w:szCs w:val="21"/>
          <w:lang w:eastAsia="tr-TR"/>
        </w:rPr>
        <w:br/>
      </w:r>
      <w:r w:rsidRPr="0045530E">
        <w:rPr>
          <w:rFonts w:ascii="inherit" w:eastAsia="Times New Roman" w:hAnsi="inherit" w:cs="Arial"/>
          <w:b/>
          <w:bCs/>
          <w:color w:val="222222"/>
          <w:sz w:val="21"/>
          <w:szCs w:val="21"/>
          <w:bdr w:val="none" w:sz="0" w:space="0" w:color="auto" w:frame="1"/>
          <w:lang w:eastAsia="tr-TR"/>
        </w:rPr>
        <w:t>Other information about Non-Steroidal Anti-Inflammatory Drugs (NSAIDs)</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 Aspirin is an NSAID medicine but it does not increase the chance of a heart attack. Aspirin can cause bleeding in the brain, stomach, and intestines. Aspirin can also cause ulcers in the stomach and intestines.</w:t>
      </w:r>
      <w:r w:rsidRPr="0045530E">
        <w:rPr>
          <w:rFonts w:ascii="inherit" w:eastAsia="Times New Roman" w:hAnsi="inherit" w:cs="Arial"/>
          <w:color w:val="222222"/>
          <w:sz w:val="21"/>
          <w:szCs w:val="21"/>
          <w:lang w:eastAsia="tr-TR"/>
        </w:rPr>
        <w:br/>
        <w:t>• Some of these NSAID medicines are sold in lower doses without a prescription (overthecounter). Talk to your healthcare provider before using overthecounter NSAIDs for more than 10 days.</w:t>
      </w:r>
    </w:p>
    <w:p w:rsidR="0045530E" w:rsidRPr="0045530E" w:rsidRDefault="0045530E" w:rsidP="0045530E">
      <w:pPr>
        <w:shd w:val="clear" w:color="auto" w:fill="FFFFFF"/>
        <w:spacing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b/>
          <w:bCs/>
          <w:color w:val="222222"/>
          <w:sz w:val="21"/>
          <w:szCs w:val="21"/>
          <w:u w:val="single"/>
          <w:bdr w:val="none" w:sz="0" w:space="0" w:color="auto" w:frame="1"/>
          <w:lang w:eastAsia="tr-TR"/>
        </w:rPr>
        <w:t>NSAID medicines that need a prescription</w:t>
      </w:r>
    </w:p>
    <w:tbl>
      <w:tblPr>
        <w:tblW w:w="5000" w:type="pct"/>
        <w:tblCellMar>
          <w:left w:w="0" w:type="dxa"/>
          <w:right w:w="0" w:type="dxa"/>
        </w:tblCellMar>
        <w:tblLook w:val="04A0" w:firstRow="1" w:lastRow="0" w:firstColumn="1" w:lastColumn="0" w:noHBand="0" w:noVBand="1"/>
      </w:tblPr>
      <w:tblGrid>
        <w:gridCol w:w="2375"/>
        <w:gridCol w:w="6877"/>
      </w:tblGrid>
      <w:tr w:rsidR="0045530E" w:rsidRPr="0045530E" w:rsidTr="0045530E">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sz w:val="24"/>
                <w:szCs w:val="24"/>
                <w:bdr w:val="none" w:sz="0" w:space="0" w:color="auto" w:frame="1"/>
                <w:lang w:eastAsia="tr-TR"/>
              </w:rPr>
              <w:t>Generic Name</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b/>
                <w:bCs/>
                <w:sz w:val="24"/>
                <w:szCs w:val="24"/>
                <w:bdr w:val="none" w:sz="0" w:space="0" w:color="auto" w:frame="1"/>
                <w:lang w:eastAsia="tr-TR"/>
              </w:rPr>
              <w:t>Tradename</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Celecoxib</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Celebrex</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Diclofenac</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192" w:line="240" w:lineRule="auto"/>
              <w:textAlignment w:val="baseline"/>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Cataflam, Voltaren,</w:t>
            </w:r>
          </w:p>
          <w:p w:rsidR="0045530E" w:rsidRPr="0045530E" w:rsidRDefault="0045530E" w:rsidP="0045530E">
            <w:pPr>
              <w:spacing w:after="192" w:line="240" w:lineRule="auto"/>
              <w:textAlignment w:val="baseline"/>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Arthrotec (combined with misoprostol)</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Diflunisal</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Dolobid</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Etodolac</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Lodine, Lodine XL</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Fenoprofen</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Nalfon, Nalfon 200</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Flurbiprofen</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Ansaid</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Ibuprofen</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192" w:line="240" w:lineRule="auto"/>
              <w:textAlignment w:val="baseline"/>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Motrin, Tab-Profen, Vicoprofen*</w:t>
            </w:r>
          </w:p>
          <w:p w:rsidR="0045530E" w:rsidRPr="0045530E" w:rsidRDefault="0045530E" w:rsidP="0045530E">
            <w:pPr>
              <w:spacing w:after="192" w:line="240" w:lineRule="auto"/>
              <w:textAlignment w:val="baseline"/>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(combined with hydrocodone),</w:t>
            </w:r>
          </w:p>
          <w:p w:rsidR="0045530E" w:rsidRPr="0045530E" w:rsidRDefault="0045530E" w:rsidP="0045530E">
            <w:pPr>
              <w:spacing w:after="192" w:line="240" w:lineRule="auto"/>
              <w:textAlignment w:val="baseline"/>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Combunox (combined with oxycodone)</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192" w:line="240" w:lineRule="auto"/>
              <w:textAlignment w:val="baseline"/>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Indomethacin</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192" w:line="240" w:lineRule="auto"/>
              <w:textAlignment w:val="baseline"/>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Indocin, Indocin SR, Indo-Lemmon,</w:t>
            </w:r>
          </w:p>
          <w:p w:rsidR="0045530E" w:rsidRPr="0045530E" w:rsidRDefault="0045530E" w:rsidP="0045530E">
            <w:pPr>
              <w:spacing w:after="192" w:line="240" w:lineRule="auto"/>
              <w:textAlignment w:val="baseline"/>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Indomethagan</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Ketoprofen</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Oruvail</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Ketorolac</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Toradol</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Mefenamic Acid</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Ponstel</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Meloxicam</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Mobic</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Nabumetone</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Relafen</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Naproxen</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192" w:line="240" w:lineRule="auto"/>
              <w:textAlignment w:val="baseline"/>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Naprosyn, Anaprox, Anaprox DS, EC-Naproxyn,</w:t>
            </w:r>
          </w:p>
          <w:p w:rsidR="0045530E" w:rsidRPr="0045530E" w:rsidRDefault="0045530E" w:rsidP="0045530E">
            <w:pPr>
              <w:spacing w:after="192" w:line="240" w:lineRule="auto"/>
              <w:textAlignment w:val="baseline"/>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Naprelan, Naprapac (copackaged with lansoprazole)</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Oxaprozin</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Daypro</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Piroxicam</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Feldene</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Sulindac</w:t>
            </w:r>
          </w:p>
        </w:tc>
        <w:tc>
          <w:tcPr>
            <w:tcW w:w="0" w:type="auto"/>
            <w:tcBorders>
              <w:top w:val="single" w:sz="6" w:space="0" w:color="000000"/>
              <w:left w:val="single" w:sz="6" w:space="0" w:color="000000"/>
              <w:bottom w:val="single" w:sz="6" w:space="0" w:color="000000"/>
              <w:right w:val="single" w:sz="6" w:space="0" w:color="000000"/>
            </w:tcBorders>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Clinoril</w:t>
            </w:r>
          </w:p>
        </w:tc>
      </w:tr>
      <w:tr w:rsidR="0045530E" w:rsidRPr="0045530E" w:rsidTr="0045530E">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Tolmetin</w:t>
            </w:r>
          </w:p>
        </w:tc>
        <w:tc>
          <w:tcPr>
            <w:tcW w:w="0" w:type="auto"/>
            <w:tcBorders>
              <w:top w:val="single" w:sz="6" w:space="0" w:color="000000"/>
              <w:left w:val="single" w:sz="6" w:space="0" w:color="000000"/>
              <w:bottom w:val="single" w:sz="6" w:space="0" w:color="000000"/>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proofErr w:type="gramStart"/>
            <w:r w:rsidRPr="0045530E">
              <w:rPr>
                <w:rFonts w:ascii="inherit" w:eastAsia="Times New Roman" w:hAnsi="inherit" w:cs="Times New Roman"/>
                <w:sz w:val="24"/>
                <w:szCs w:val="24"/>
                <w:lang w:eastAsia="tr-TR"/>
              </w:rPr>
              <w:t>Tolectin,TolectinDS</w:t>
            </w:r>
            <w:proofErr w:type="gramEnd"/>
            <w:r w:rsidRPr="0045530E">
              <w:rPr>
                <w:rFonts w:ascii="inherit" w:eastAsia="Times New Roman" w:hAnsi="inherit" w:cs="Times New Roman"/>
                <w:sz w:val="24"/>
                <w:szCs w:val="24"/>
                <w:lang w:eastAsia="tr-TR"/>
              </w:rPr>
              <w:t>, Tolectin 600</w:t>
            </w:r>
          </w:p>
        </w:tc>
      </w:tr>
    </w:tbl>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 Vicoprofen contains the same dose of ibuprofen as over-the-counter (OTC) NSAIDs, and is usually used for less than 10 days to treat pain. The OTC NSAID label warns that long term continuous use may increase the risk of heart attack or stroke.</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i/>
          <w:iCs/>
          <w:color w:val="222222"/>
          <w:sz w:val="21"/>
          <w:szCs w:val="21"/>
          <w:bdr w:val="none" w:sz="0" w:space="0" w:color="auto" w:frame="1"/>
          <w:lang w:eastAsia="tr-TR"/>
        </w:rPr>
        <w:t>This Medication Guide has been approved by the U.S. Food and Drug Administration.</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br/>
        <w:t>Made in India</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br/>
        <w:t>Manufactured for:</w:t>
      </w:r>
      <w:r w:rsidRPr="0045530E">
        <w:rPr>
          <w:rFonts w:ascii="inherit" w:eastAsia="Times New Roman" w:hAnsi="inherit" w:cs="Arial"/>
          <w:color w:val="222222"/>
          <w:sz w:val="21"/>
          <w:szCs w:val="21"/>
          <w:lang w:eastAsia="tr-TR"/>
        </w:rPr>
        <w:br/>
        <w:t>Sydon Labs, LLC</w:t>
      </w:r>
      <w:r w:rsidRPr="0045530E">
        <w:rPr>
          <w:rFonts w:ascii="inherit" w:eastAsia="Times New Roman" w:hAnsi="inherit" w:cs="Arial"/>
          <w:color w:val="222222"/>
          <w:sz w:val="21"/>
          <w:szCs w:val="21"/>
          <w:lang w:eastAsia="tr-TR"/>
        </w:rPr>
        <w:br/>
        <w:t>Los Angeles, CA 90034</w:t>
      </w:r>
    </w:p>
    <w:p w:rsidR="0045530E" w:rsidRPr="0045530E" w:rsidRDefault="0045530E" w:rsidP="0045530E">
      <w:pPr>
        <w:shd w:val="clear" w:color="auto" w:fill="FFFFFF"/>
        <w:spacing w:after="0" w:line="240" w:lineRule="auto"/>
        <w:ind w:left="450"/>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br/>
        <w:t>Revised: 06/2015</w:t>
      </w:r>
    </w:p>
    <w:p w:rsidR="0045530E" w:rsidRPr="0045530E" w:rsidRDefault="0045530E" w:rsidP="0045530E">
      <w:pPr>
        <w:shd w:val="clear" w:color="auto" w:fill="FFFFFF"/>
        <w:spacing w:after="75" w:line="240" w:lineRule="auto"/>
        <w:ind w:left="450"/>
        <w:textAlignment w:val="baseline"/>
        <w:rPr>
          <w:rFonts w:ascii="inherit" w:eastAsia="Times New Roman" w:hAnsi="inherit" w:cs="Arial"/>
          <w:color w:val="222222"/>
          <w:sz w:val="21"/>
          <w:szCs w:val="21"/>
          <w:lang w:eastAsia="tr-TR"/>
        </w:rPr>
      </w:pPr>
      <w:hyperlink r:id="rId169" w:history="1">
        <w:r w:rsidRPr="0045530E">
          <w:rPr>
            <w:rFonts w:ascii="Arial" w:eastAsia="Times New Roman" w:hAnsi="Arial" w:cs="Arial"/>
            <w:caps/>
            <w:color w:val="1D86BB"/>
            <w:sz w:val="18"/>
            <w:szCs w:val="18"/>
            <w:u w:val="single"/>
            <w:bdr w:val="none" w:sz="0" w:space="0" w:color="auto" w:frame="1"/>
            <w:lang w:eastAsia="tr-TR"/>
          </w:rPr>
          <w:t>CLOSE</w:t>
        </w:r>
      </w:hyperlink>
    </w:p>
    <w:p w:rsidR="0045530E" w:rsidRPr="0045530E" w:rsidRDefault="0045530E" w:rsidP="0045530E">
      <w:pPr>
        <w:numPr>
          <w:ilvl w:val="0"/>
          <w:numId w:val="9"/>
        </w:numPr>
        <w:shd w:val="clear" w:color="auto" w:fill="FFFFFF"/>
        <w:spacing w:after="0" w:line="240" w:lineRule="auto"/>
        <w:ind w:left="0"/>
        <w:textAlignment w:val="baseline"/>
        <w:rPr>
          <w:rFonts w:ascii="inherit" w:eastAsia="Times New Roman" w:hAnsi="inherit" w:cs="Arial"/>
          <w:color w:val="222222"/>
          <w:sz w:val="21"/>
          <w:szCs w:val="21"/>
          <w:lang w:eastAsia="tr-TR"/>
        </w:rPr>
      </w:pPr>
      <w:hyperlink r:id="rId170" w:history="1">
        <w:r w:rsidRPr="0045530E">
          <w:rPr>
            <w:rFonts w:ascii="Arial" w:eastAsia="Times New Roman" w:hAnsi="Arial" w:cs="Arial"/>
            <w:caps/>
            <w:color w:val="000000"/>
            <w:sz w:val="30"/>
            <w:szCs w:val="30"/>
            <w:u w:val="single"/>
            <w:bdr w:val="none" w:sz="0" w:space="0" w:color="auto" w:frame="1"/>
            <w:lang w:eastAsia="tr-TR"/>
          </w:rPr>
          <w:t>PACKAGING</w:t>
        </w:r>
      </w:hyperlink>
    </w:p>
    <w:p w:rsidR="0045530E" w:rsidRPr="0045530E" w:rsidRDefault="0045530E" w:rsidP="0045530E">
      <w:pPr>
        <w:shd w:val="clear" w:color="auto" w:fill="FFFFFF"/>
        <w:spacing w:after="192" w:line="240" w:lineRule="auto"/>
        <w:ind w:left="450"/>
        <w:textAlignment w:val="baseline"/>
        <w:rPr>
          <w:rFonts w:ascii="inherit" w:eastAsia="Times New Roman" w:hAnsi="inherit" w:cs="Arial"/>
          <w:color w:val="222222"/>
          <w:sz w:val="21"/>
          <w:szCs w:val="21"/>
          <w:lang w:eastAsia="tr-TR"/>
        </w:rPr>
      </w:pPr>
      <w:bookmarkStart w:id="175" w:name="L177691f9-35c4-497a-b5ae-53fa9adc09fc"/>
      <w:bookmarkStart w:id="176" w:name="section-17"/>
      <w:bookmarkEnd w:id="175"/>
      <w:bookmarkEnd w:id="176"/>
      <w:r w:rsidRPr="0045530E">
        <w:rPr>
          <w:rFonts w:ascii="inherit" w:eastAsia="Times New Roman" w:hAnsi="inherit" w:cs="Arial"/>
          <w:noProof/>
          <w:color w:val="222222"/>
          <w:sz w:val="21"/>
          <w:szCs w:val="21"/>
          <w:lang w:eastAsia="tr-TR"/>
        </w:rPr>
        <mc:AlternateContent>
          <mc:Choice Requires="wps">
            <w:drawing>
              <wp:inline distT="0" distB="0" distL="0" distR="0" wp14:anchorId="71BC5097" wp14:editId="606CB69A">
                <wp:extent cx="304800" cy="304800"/>
                <wp:effectExtent l="0" t="0" r="0" b="0"/>
                <wp:docPr id="1" name="AutoShape 4" descr="celecoxib"/>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4" o:spid="_x0000_s1026" alt="celecoxib"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" filled="f" stroked="f">
                <o:lock v:ext="edit" aspectratio="t"/>
                <w10:anchorlock/>
              </v:rect>
            </w:pict>
          </mc:Fallback>
        </mc:AlternateContent>
      </w:r>
    </w:p>
    <w:p w:rsidR="0045530E" w:rsidRPr="0045530E" w:rsidRDefault="0045530E" w:rsidP="0045530E">
      <w:pPr>
        <w:shd w:val="clear" w:color="auto" w:fill="FFFFFF"/>
        <w:spacing w:after="75" w:line="240" w:lineRule="auto"/>
        <w:ind w:left="450"/>
        <w:textAlignment w:val="baseline"/>
        <w:rPr>
          <w:rFonts w:ascii="inherit" w:eastAsia="Times New Roman" w:hAnsi="inherit" w:cs="Arial"/>
          <w:color w:val="222222"/>
          <w:sz w:val="21"/>
          <w:szCs w:val="21"/>
          <w:lang w:eastAsia="tr-TR"/>
        </w:rPr>
      </w:pPr>
      <w:hyperlink r:id="rId171" w:history="1">
        <w:r w:rsidRPr="0045530E">
          <w:rPr>
            <w:rFonts w:ascii="Arial" w:eastAsia="Times New Roman" w:hAnsi="Arial" w:cs="Arial"/>
            <w:caps/>
            <w:color w:val="1D86BB"/>
            <w:sz w:val="18"/>
            <w:szCs w:val="18"/>
            <w:u w:val="single"/>
            <w:bdr w:val="none" w:sz="0" w:space="0" w:color="auto" w:frame="1"/>
            <w:lang w:eastAsia="tr-TR"/>
          </w:rPr>
          <w:t>CLOSE</w:t>
        </w:r>
      </w:hyperlink>
    </w:p>
    <w:p w:rsidR="0045530E" w:rsidRPr="0045530E" w:rsidRDefault="0045530E" w:rsidP="0045530E">
      <w:pPr>
        <w:numPr>
          <w:ilvl w:val="0"/>
          <w:numId w:val="9"/>
        </w:numPr>
        <w:shd w:val="clear" w:color="auto" w:fill="FFFFFF"/>
        <w:spacing w:line="240" w:lineRule="auto"/>
        <w:ind w:left="0"/>
        <w:textAlignment w:val="baseline"/>
        <w:rPr>
          <w:rFonts w:ascii="inherit" w:eastAsia="Times New Roman" w:hAnsi="inherit" w:cs="Arial"/>
          <w:color w:val="222222"/>
          <w:sz w:val="21"/>
          <w:szCs w:val="21"/>
          <w:lang w:eastAsia="tr-TR"/>
        </w:rPr>
      </w:pPr>
      <w:hyperlink r:id="rId172" w:history="1">
        <w:r w:rsidRPr="0045530E">
          <w:rPr>
            <w:rFonts w:ascii="Arial" w:eastAsia="Times New Roman" w:hAnsi="Arial" w:cs="Arial"/>
            <w:caps/>
            <w:color w:val="000000"/>
            <w:sz w:val="30"/>
            <w:szCs w:val="30"/>
            <w:u w:val="single"/>
            <w:bdr w:val="none" w:sz="0" w:space="0" w:color="auto" w:frame="1"/>
            <w:lang w:eastAsia="tr-TR"/>
          </w:rPr>
          <w:t>INGREDIENTS AND APPEARANCE</w:t>
        </w:r>
      </w:hyperlink>
    </w:p>
    <w:tbl>
      <w:tblPr>
        <w:tblW w:w="9000" w:type="dxa"/>
        <w:tblBorders>
          <w:top w:val="single" w:sz="6" w:space="0" w:color="auto"/>
          <w:left w:val="single" w:sz="6" w:space="0" w:color="auto"/>
          <w:bottom w:val="single" w:sz="6" w:space="0" w:color="auto"/>
          <w:right w:val="single" w:sz="6" w:space="0" w:color="auto"/>
        </w:tblBorders>
        <w:tblCellMar>
          <w:left w:w="0" w:type="dxa"/>
          <w:right w:w="0" w:type="dxa"/>
        </w:tblCellMar>
        <w:tblLook w:val="04A0" w:firstRow="1" w:lastRow="0" w:firstColumn="1" w:lastColumn="0" w:noHBand="0" w:noVBand="1"/>
      </w:tblPr>
      <w:tblGrid>
        <w:gridCol w:w="5798"/>
        <w:gridCol w:w="1601"/>
        <w:gridCol w:w="1601"/>
      </w:tblGrid>
      <w:tr w:rsidR="0045530E" w:rsidRPr="0045530E" w:rsidTr="0045530E">
        <w:trPr>
          <w:gridAfter w:val="1"/>
        </w:trPr>
        <w:tc>
          <w:tcPr>
            <w:tcW w:w="6" w:type="dxa"/>
            <w:gridSpan w:val="2"/>
            <w:tcBorders>
              <w:top w:val="nil"/>
              <w:left w:val="nil"/>
              <w:bottom w:val="nil"/>
              <w:right w:val="nil"/>
            </w:tcBorders>
            <w:shd w:val="clear" w:color="auto" w:fill="2B789F"/>
            <w:tcMar>
              <w:top w:w="120" w:type="dxa"/>
              <w:left w:w="240" w:type="dxa"/>
              <w:bottom w:w="120" w:type="dxa"/>
              <w:right w:w="240" w:type="dxa"/>
            </w:tcMar>
            <w:hideMark/>
          </w:tcPr>
          <w:p w:rsidR="0045530E" w:rsidRPr="0045530E" w:rsidRDefault="0045530E" w:rsidP="0045530E">
            <w:pPr>
              <w:spacing w:after="0" w:line="240" w:lineRule="atLeast"/>
              <w:rPr>
                <w:rFonts w:ascii="Arial" w:eastAsia="Times New Roman" w:hAnsi="Arial" w:cs="Arial"/>
                <w:color w:val="FFFFFF"/>
                <w:sz w:val="21"/>
                <w:szCs w:val="21"/>
                <w:lang w:eastAsia="tr-TR"/>
              </w:rPr>
            </w:pPr>
            <w:r w:rsidRPr="0045530E">
              <w:rPr>
                <w:rFonts w:ascii="Arial" w:eastAsia="Times New Roman" w:hAnsi="Arial" w:cs="Arial"/>
                <w:color w:val="FFFFFF"/>
                <w:sz w:val="30"/>
                <w:szCs w:val="30"/>
                <w:bdr w:val="none" w:sz="0" w:space="0" w:color="auto" w:frame="1"/>
                <w:lang w:eastAsia="tr-TR"/>
              </w:rPr>
              <w:t>CELECOXIB 400 MG </w:t>
            </w:r>
            <w:r w:rsidRPr="0045530E">
              <w:rPr>
                <w:rFonts w:ascii="Arial" w:eastAsia="Times New Roman" w:hAnsi="Arial" w:cs="Arial"/>
                <w:color w:val="FFFFFF"/>
                <w:sz w:val="24"/>
                <w:szCs w:val="24"/>
                <w:bdr w:val="none" w:sz="0" w:space="0" w:color="auto" w:frame="1"/>
                <w:lang w:eastAsia="tr-TR"/>
              </w:rPr>
              <w:t>celecoxib capsule</w:t>
            </w:r>
          </w:p>
        </w:tc>
      </w:tr>
      <w:tr w:rsidR="0045530E" w:rsidRPr="0045530E" w:rsidTr="0045530E">
        <w:trPr>
          <w:gridAfter w:val="1"/>
        </w:trPr>
        <w:tc>
          <w:tcPr>
            <w:tcW w:w="6" w:type="dxa"/>
            <w:gridSpan w:val="2"/>
            <w:tcBorders>
              <w:top w:val="nil"/>
              <w:left w:val="nil"/>
              <w:bottom w:val="nil"/>
              <w:right w:val="nil"/>
            </w:tcBorders>
            <w:tcMar>
              <w:top w:w="90" w:type="dxa"/>
              <w:left w:w="90" w:type="dxa"/>
              <w:bottom w:w="90" w:type="dxa"/>
              <w:right w:w="90" w:type="dxa"/>
            </w:tcMar>
            <w:hideMark/>
          </w:tcPr>
          <w:tbl>
            <w:tblPr>
              <w:tblW w:w="5000" w:type="pct"/>
              <w:tblCellMar>
                <w:left w:w="0" w:type="dxa"/>
                <w:right w:w="0" w:type="dxa"/>
              </w:tblCellMar>
              <w:tblLook w:val="04A0" w:firstRow="1" w:lastRow="0" w:firstColumn="1" w:lastColumn="0" w:noHBand="0" w:noVBand="1"/>
            </w:tblPr>
            <w:tblGrid>
              <w:gridCol w:w="2160"/>
              <w:gridCol w:w="2165"/>
              <w:gridCol w:w="1216"/>
              <w:gridCol w:w="1662"/>
            </w:tblGrid>
            <w:tr w:rsidR="0045530E" w:rsidRPr="0045530E">
              <w:tc>
                <w:tcPr>
                  <w:tcW w:w="6" w:type="dxa"/>
                  <w:gridSpan w:val="4"/>
                  <w:tcBorders>
                    <w:top w:val="single" w:sz="6" w:space="0" w:color="000000"/>
                    <w:left w:val="single" w:sz="6" w:space="0" w:color="000000"/>
                    <w:bottom w:val="single" w:sz="6" w:space="0" w:color="000000"/>
                    <w:right w:val="single" w:sz="6" w:space="0" w:color="000000"/>
                  </w:tcBorders>
                  <w:shd w:val="clear" w:color="auto" w:fill="2B789F"/>
                  <w:tcMar>
                    <w:top w:w="120" w:type="dxa"/>
                    <w:left w:w="120" w:type="dxa"/>
                    <w:bottom w:w="120" w:type="dxa"/>
                    <w:right w:w="120" w:type="dxa"/>
                  </w:tcMar>
                  <w:hideMark/>
                </w:tcPr>
                <w:p w:rsidR="0045530E" w:rsidRPr="0045530E" w:rsidRDefault="0045530E" w:rsidP="0045530E">
                  <w:pPr>
                    <w:spacing w:after="0" w:line="240" w:lineRule="auto"/>
                    <w:rPr>
                      <w:rFonts w:ascii="Arial" w:eastAsia="Times New Roman" w:hAnsi="Arial" w:cs="Arial"/>
                      <w:caps/>
                      <w:color w:val="FFFFFF"/>
                      <w:sz w:val="21"/>
                      <w:szCs w:val="21"/>
                      <w:lang w:eastAsia="tr-TR"/>
                    </w:rPr>
                  </w:pPr>
                  <w:r w:rsidRPr="0045530E">
                    <w:rPr>
                      <w:rFonts w:ascii="Arial" w:eastAsia="Times New Roman" w:hAnsi="Arial" w:cs="Arial"/>
                      <w:caps/>
                      <w:color w:val="FFFFFF"/>
                      <w:sz w:val="21"/>
                      <w:szCs w:val="21"/>
                      <w:lang w:eastAsia="tr-TR"/>
                    </w:rPr>
                    <w:t>PRODUCT INFORMATION</w:t>
                  </w:r>
                </w:p>
              </w:tc>
            </w:tr>
            <w:tr w:rsidR="0045530E" w:rsidRPr="0045530E">
              <w:tc>
                <w:tcPr>
                  <w:tcW w:w="6" w:type="dxa"/>
                  <w:tcBorders>
                    <w:top w:val="single" w:sz="6" w:space="0" w:color="000000"/>
                    <w:left w:val="nil"/>
                    <w:bottom w:val="nil"/>
                    <w:right w:val="single" w:sz="6" w:space="0" w:color="auto"/>
                  </w:tcBorders>
                  <w:shd w:val="clear" w:color="auto" w:fill="FFCD6F"/>
                  <w:tcMar>
                    <w:top w:w="90" w:type="dxa"/>
                    <w:left w:w="90" w:type="dxa"/>
                    <w:bottom w:w="90" w:type="dxa"/>
                    <w:right w:w="90" w:type="dxa"/>
                  </w:tcMar>
                  <w:hideMark/>
                </w:tcPr>
                <w:p w:rsidR="0045530E" w:rsidRPr="0045530E" w:rsidRDefault="0045530E" w:rsidP="0045530E">
                  <w:pPr>
                    <w:spacing w:after="0" w:line="240" w:lineRule="auto"/>
                    <w:rPr>
                      <w:rFonts w:ascii="Arial" w:eastAsia="Times New Roman" w:hAnsi="Arial" w:cs="Arial"/>
                      <w:color w:val="000000"/>
                      <w:sz w:val="21"/>
                      <w:szCs w:val="21"/>
                      <w:lang w:eastAsia="tr-TR"/>
                    </w:rPr>
                  </w:pPr>
                  <w:r w:rsidRPr="0045530E">
                    <w:rPr>
                      <w:rFonts w:ascii="Arial" w:eastAsia="Times New Roman" w:hAnsi="Arial" w:cs="Arial"/>
                      <w:color w:val="000000"/>
                      <w:sz w:val="21"/>
                      <w:szCs w:val="21"/>
                      <w:lang w:eastAsia="tr-TR"/>
                    </w:rPr>
                    <w:t>Product Type</w:t>
                  </w:r>
                </w:p>
              </w:tc>
              <w:tc>
                <w:tcPr>
                  <w:tcW w:w="6" w:type="dxa"/>
                  <w:tcBorders>
                    <w:top w:val="single" w:sz="6" w:space="0" w:color="000000"/>
                    <w:left w:val="nil"/>
                    <w:bottom w:val="nil"/>
                    <w:right w:val="single" w:sz="6" w:space="0" w:color="000000"/>
                  </w:tcBorders>
                  <w:shd w:val="clear" w:color="auto" w:fill="FFFFFF"/>
                  <w:tcMar>
                    <w:top w:w="90" w:type="dxa"/>
                    <w:left w:w="90" w:type="dxa"/>
                    <w:bottom w:w="90" w:type="dxa"/>
                    <w:right w:w="90" w:type="dxa"/>
                  </w:tcMar>
                  <w:hideMark/>
                </w:tcPr>
                <w:p w:rsidR="0045530E" w:rsidRPr="0045530E" w:rsidRDefault="0045530E" w:rsidP="0045530E">
                  <w:pPr>
                    <w:spacing w:after="0" w:line="240" w:lineRule="auto"/>
                    <w:rPr>
                      <w:rFonts w:ascii="Arial" w:eastAsia="Times New Roman" w:hAnsi="Arial" w:cs="Arial"/>
                      <w:color w:val="000000"/>
                      <w:sz w:val="21"/>
                      <w:szCs w:val="21"/>
                      <w:lang w:eastAsia="tr-TR"/>
                    </w:rPr>
                  </w:pPr>
                  <w:r w:rsidRPr="0045530E">
                    <w:rPr>
                      <w:rFonts w:ascii="Arial" w:eastAsia="Times New Roman" w:hAnsi="Arial" w:cs="Arial"/>
                      <w:color w:val="000000"/>
                      <w:sz w:val="21"/>
                      <w:szCs w:val="21"/>
                      <w:lang w:eastAsia="tr-TR"/>
                    </w:rPr>
                    <w:t>HUMAN PRESCRIPTION DRUG</w:t>
                  </w:r>
                </w:p>
              </w:tc>
              <w:tc>
                <w:tcPr>
                  <w:tcW w:w="6" w:type="dxa"/>
                  <w:tcBorders>
                    <w:top w:val="single" w:sz="6" w:space="0" w:color="000000"/>
                    <w:left w:val="nil"/>
                    <w:bottom w:val="nil"/>
                    <w:right w:val="single" w:sz="6" w:space="0" w:color="auto"/>
                  </w:tcBorders>
                  <w:shd w:val="clear" w:color="auto" w:fill="FFCD6F"/>
                  <w:tcMar>
                    <w:top w:w="90" w:type="dxa"/>
                    <w:left w:w="90" w:type="dxa"/>
                    <w:bottom w:w="90" w:type="dxa"/>
                    <w:right w:w="90" w:type="dxa"/>
                  </w:tcMar>
                  <w:hideMark/>
                </w:tcPr>
                <w:p w:rsidR="0045530E" w:rsidRPr="0045530E" w:rsidRDefault="0045530E" w:rsidP="0045530E">
                  <w:pPr>
                    <w:spacing w:after="0" w:line="240" w:lineRule="auto"/>
                    <w:rPr>
                      <w:rFonts w:ascii="Arial" w:eastAsia="Times New Roman" w:hAnsi="Arial" w:cs="Arial"/>
                      <w:color w:val="000000"/>
                      <w:sz w:val="21"/>
                      <w:szCs w:val="21"/>
                      <w:lang w:eastAsia="tr-TR"/>
                    </w:rPr>
                  </w:pPr>
                  <w:r w:rsidRPr="0045530E">
                    <w:rPr>
                      <w:rFonts w:ascii="Arial" w:eastAsia="Times New Roman" w:hAnsi="Arial" w:cs="Arial"/>
                      <w:color w:val="000000"/>
                      <w:sz w:val="21"/>
                      <w:szCs w:val="21"/>
                      <w:lang w:eastAsia="tr-TR"/>
                    </w:rPr>
                    <w:t>Item Code (Source)</w:t>
                  </w:r>
                </w:p>
              </w:tc>
              <w:tc>
                <w:tcPr>
                  <w:tcW w:w="6" w:type="dxa"/>
                  <w:tcBorders>
                    <w:top w:val="single" w:sz="6" w:space="0" w:color="000000"/>
                    <w:left w:val="nil"/>
                    <w:bottom w:val="nil"/>
                    <w:right w:val="single" w:sz="6" w:space="0" w:color="000000"/>
                  </w:tcBorders>
                  <w:shd w:val="clear" w:color="auto" w:fill="FFFFFF"/>
                  <w:tcMar>
                    <w:top w:w="90" w:type="dxa"/>
                    <w:left w:w="90" w:type="dxa"/>
                    <w:bottom w:w="90" w:type="dxa"/>
                    <w:right w:w="90" w:type="dxa"/>
                  </w:tcMar>
                  <w:hideMark/>
                </w:tcPr>
                <w:p w:rsidR="0045530E" w:rsidRPr="0045530E" w:rsidRDefault="0045530E" w:rsidP="0045530E">
                  <w:pPr>
                    <w:spacing w:after="0" w:line="240" w:lineRule="auto"/>
                    <w:rPr>
                      <w:rFonts w:ascii="Arial" w:eastAsia="Times New Roman" w:hAnsi="Arial" w:cs="Arial"/>
                      <w:color w:val="000000"/>
                      <w:sz w:val="21"/>
                      <w:szCs w:val="21"/>
                      <w:lang w:eastAsia="tr-TR"/>
                    </w:rPr>
                  </w:pPr>
                  <w:r w:rsidRPr="0045530E">
                    <w:rPr>
                      <w:rFonts w:ascii="Arial" w:eastAsia="Times New Roman" w:hAnsi="Arial" w:cs="Arial"/>
                      <w:color w:val="000000"/>
                      <w:sz w:val="21"/>
                      <w:szCs w:val="21"/>
                      <w:lang w:eastAsia="tr-TR"/>
                    </w:rPr>
                    <w:t>NDC:69399-185</w:t>
                  </w:r>
                </w:p>
              </w:tc>
            </w:tr>
            <w:tr w:rsidR="0045530E" w:rsidRPr="0045530E">
              <w:tc>
                <w:tcPr>
                  <w:tcW w:w="1500" w:type="pct"/>
                  <w:tcBorders>
                    <w:top w:val="single" w:sz="6" w:space="0" w:color="000000"/>
                    <w:left w:val="nil"/>
                    <w:bottom w:val="nil"/>
                    <w:right w:val="single" w:sz="6" w:space="0" w:color="auto"/>
                  </w:tcBorders>
                  <w:shd w:val="clear" w:color="auto" w:fill="FFCD6F"/>
                  <w:tcMar>
                    <w:top w:w="90" w:type="dxa"/>
                    <w:left w:w="90" w:type="dxa"/>
                    <w:bottom w:w="90" w:type="dxa"/>
                    <w:right w:w="90" w:type="dxa"/>
                  </w:tcMar>
                  <w:hideMark/>
                </w:tcPr>
                <w:p w:rsidR="0045530E" w:rsidRPr="0045530E" w:rsidRDefault="0045530E" w:rsidP="0045530E">
                  <w:pPr>
                    <w:spacing w:after="0" w:line="240" w:lineRule="auto"/>
                    <w:rPr>
                      <w:rFonts w:ascii="Arial" w:eastAsia="Times New Roman" w:hAnsi="Arial" w:cs="Arial"/>
                      <w:color w:val="000000"/>
                      <w:sz w:val="21"/>
                      <w:szCs w:val="21"/>
                      <w:lang w:eastAsia="tr-TR"/>
                    </w:rPr>
                  </w:pPr>
                  <w:r w:rsidRPr="0045530E">
                    <w:rPr>
                      <w:rFonts w:ascii="Arial" w:eastAsia="Times New Roman" w:hAnsi="Arial" w:cs="Arial"/>
                      <w:color w:val="000000"/>
                      <w:sz w:val="21"/>
                      <w:szCs w:val="21"/>
                      <w:lang w:eastAsia="tr-TR"/>
                    </w:rPr>
                    <w:t>Route of Administration</w:t>
                  </w:r>
                </w:p>
              </w:tc>
              <w:tc>
                <w:tcPr>
                  <w:tcW w:w="6" w:type="dxa"/>
                  <w:tcBorders>
                    <w:top w:val="single" w:sz="6" w:space="0" w:color="000000"/>
                    <w:left w:val="nil"/>
                    <w:bottom w:val="nil"/>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Arial" w:eastAsia="Times New Roman" w:hAnsi="Arial" w:cs="Arial"/>
                      <w:color w:val="000000"/>
                      <w:sz w:val="21"/>
                      <w:szCs w:val="21"/>
                      <w:lang w:eastAsia="tr-TR"/>
                    </w:rPr>
                  </w:pPr>
                  <w:r w:rsidRPr="0045530E">
                    <w:rPr>
                      <w:rFonts w:ascii="Arial" w:eastAsia="Times New Roman" w:hAnsi="Arial" w:cs="Arial"/>
                      <w:color w:val="000000"/>
                      <w:sz w:val="21"/>
                      <w:szCs w:val="21"/>
                      <w:lang w:eastAsia="tr-TR"/>
                    </w:rPr>
                    <w:t>ORAL</w:t>
                  </w:r>
                </w:p>
              </w:tc>
              <w:tc>
                <w:tcPr>
                  <w:tcW w:w="0" w:type="auto"/>
                  <w:vAlign w:val="bottom"/>
                  <w:hideMark/>
                </w:tcPr>
                <w:p w:rsidR="0045530E" w:rsidRPr="0045530E" w:rsidRDefault="0045530E" w:rsidP="0045530E">
                  <w:pPr>
                    <w:spacing w:after="0" w:line="240" w:lineRule="auto"/>
                    <w:rPr>
                      <w:rFonts w:ascii="Times New Roman" w:eastAsia="Times New Roman" w:hAnsi="Times New Roman" w:cs="Times New Roman"/>
                      <w:sz w:val="20"/>
                      <w:szCs w:val="20"/>
                      <w:lang w:eastAsia="tr-TR"/>
                    </w:rPr>
                  </w:pPr>
                </w:p>
              </w:tc>
              <w:tc>
                <w:tcPr>
                  <w:tcW w:w="0" w:type="auto"/>
                  <w:vAlign w:val="bottom"/>
                  <w:hideMark/>
                </w:tcPr>
                <w:p w:rsidR="0045530E" w:rsidRPr="0045530E" w:rsidRDefault="0045530E" w:rsidP="0045530E">
                  <w:pPr>
                    <w:spacing w:after="0" w:line="240" w:lineRule="auto"/>
                    <w:rPr>
                      <w:rFonts w:ascii="Times New Roman" w:eastAsia="Times New Roman" w:hAnsi="Times New Roman" w:cs="Times New Roman"/>
                      <w:sz w:val="20"/>
                      <w:szCs w:val="20"/>
                      <w:lang w:eastAsia="tr-TR"/>
                    </w:rPr>
                  </w:pPr>
                </w:p>
              </w:tc>
            </w:tr>
          </w:tbl>
          <w:p w:rsidR="0045530E" w:rsidRPr="0045530E" w:rsidRDefault="0045530E" w:rsidP="0045530E">
            <w:pPr>
              <w:spacing w:after="0" w:line="240" w:lineRule="atLeast"/>
              <w:rPr>
                <w:rFonts w:ascii="Arial" w:eastAsia="Times New Roman" w:hAnsi="Arial" w:cs="Arial"/>
                <w:sz w:val="21"/>
                <w:szCs w:val="21"/>
                <w:lang w:eastAsia="tr-TR"/>
              </w:rPr>
            </w:pPr>
          </w:p>
        </w:tc>
      </w:tr>
      <w:tr w:rsidR="0045530E" w:rsidRPr="0045530E" w:rsidTr="0045530E">
        <w:trPr>
          <w:gridAfter w:val="1"/>
        </w:trPr>
        <w:tc>
          <w:tcPr>
            <w:tcW w:w="6" w:type="dxa"/>
            <w:gridSpan w:val="2"/>
            <w:tcBorders>
              <w:top w:val="nil"/>
              <w:left w:val="nil"/>
              <w:bottom w:val="nil"/>
              <w:right w:val="nil"/>
            </w:tcBorders>
            <w:tcMar>
              <w:top w:w="90" w:type="dxa"/>
              <w:left w:w="90" w:type="dxa"/>
              <w:bottom w:w="90" w:type="dxa"/>
              <w:right w:w="90" w:type="dxa"/>
            </w:tcMar>
            <w:hideMark/>
          </w:tcPr>
          <w:tbl>
            <w:tblPr>
              <w:tblW w:w="5000" w:type="pct"/>
              <w:tblCellMar>
                <w:left w:w="0" w:type="dxa"/>
                <w:right w:w="0" w:type="dxa"/>
              </w:tblCellMar>
              <w:tblLook w:val="04A0" w:firstRow="1" w:lastRow="0" w:firstColumn="1" w:lastColumn="0" w:noHBand="0" w:noVBand="1"/>
            </w:tblPr>
            <w:tblGrid>
              <w:gridCol w:w="3297"/>
              <w:gridCol w:w="2292"/>
              <w:gridCol w:w="1614"/>
            </w:tblGrid>
            <w:tr w:rsidR="0045530E" w:rsidRPr="0045530E">
              <w:tc>
                <w:tcPr>
                  <w:tcW w:w="6" w:type="dxa"/>
                  <w:gridSpan w:val="3"/>
                  <w:tcBorders>
                    <w:top w:val="single" w:sz="6" w:space="0" w:color="000000"/>
                    <w:left w:val="single" w:sz="6" w:space="0" w:color="000000"/>
                    <w:bottom w:val="single" w:sz="6" w:space="0" w:color="000000"/>
                    <w:right w:val="single" w:sz="6" w:space="0" w:color="000000"/>
                  </w:tcBorders>
                  <w:shd w:val="clear" w:color="auto" w:fill="2B789F"/>
                  <w:tcMar>
                    <w:top w:w="120" w:type="dxa"/>
                    <w:left w:w="120" w:type="dxa"/>
                    <w:bottom w:w="120" w:type="dxa"/>
                    <w:right w:w="120" w:type="dxa"/>
                  </w:tcMar>
                  <w:hideMark/>
                </w:tcPr>
                <w:p w:rsidR="0045530E" w:rsidRPr="0045530E" w:rsidRDefault="0045530E" w:rsidP="0045530E">
                  <w:pPr>
                    <w:spacing w:after="0" w:line="240" w:lineRule="auto"/>
                    <w:rPr>
                      <w:rFonts w:ascii="Arial" w:eastAsia="Times New Roman" w:hAnsi="Arial" w:cs="Arial"/>
                      <w:caps/>
                      <w:color w:val="FFFFFF"/>
                      <w:sz w:val="21"/>
                      <w:szCs w:val="21"/>
                      <w:lang w:eastAsia="tr-TR"/>
                    </w:rPr>
                  </w:pPr>
                  <w:r w:rsidRPr="0045530E">
                    <w:rPr>
                      <w:rFonts w:ascii="Arial" w:eastAsia="Times New Roman" w:hAnsi="Arial" w:cs="Arial"/>
                      <w:caps/>
                      <w:color w:val="FFFFFF"/>
                      <w:sz w:val="21"/>
                      <w:szCs w:val="21"/>
                      <w:lang w:eastAsia="tr-TR"/>
                    </w:rPr>
                    <w:t>ACTIVE INGREDIENT/ACTIVE MOIETY</w:t>
                  </w:r>
                </w:p>
              </w:tc>
            </w:tr>
            <w:tr w:rsidR="0045530E" w:rsidRPr="0045530E">
              <w:tc>
                <w:tcPr>
                  <w:tcW w:w="0" w:type="auto"/>
                  <w:tcBorders>
                    <w:top w:val="single" w:sz="6" w:space="0" w:color="000000"/>
                    <w:left w:val="nil"/>
                    <w:bottom w:val="nil"/>
                    <w:right w:val="single" w:sz="6" w:space="0" w:color="auto"/>
                  </w:tcBorders>
                  <w:shd w:val="clear" w:color="auto" w:fill="FFCD6F"/>
                  <w:tcMar>
                    <w:top w:w="90" w:type="dxa"/>
                    <w:left w:w="90" w:type="dxa"/>
                    <w:bottom w:w="90" w:type="dxa"/>
                    <w:right w:w="90" w:type="dxa"/>
                  </w:tcMar>
                  <w:vAlign w:val="bottom"/>
                  <w:hideMark/>
                </w:tcPr>
                <w:p w:rsidR="0045530E" w:rsidRPr="0045530E" w:rsidRDefault="0045530E" w:rsidP="0045530E">
                  <w:pPr>
                    <w:spacing w:after="0" w:line="240" w:lineRule="auto"/>
                    <w:jc w:val="center"/>
                    <w:rPr>
                      <w:rFonts w:ascii="Arial" w:eastAsia="Times New Roman" w:hAnsi="Arial" w:cs="Arial"/>
                      <w:color w:val="000000"/>
                      <w:sz w:val="21"/>
                      <w:szCs w:val="21"/>
                      <w:lang w:eastAsia="tr-TR"/>
                    </w:rPr>
                  </w:pPr>
                  <w:r w:rsidRPr="0045530E">
                    <w:rPr>
                      <w:rFonts w:ascii="Arial" w:eastAsia="Times New Roman" w:hAnsi="Arial" w:cs="Arial"/>
                      <w:color w:val="000000"/>
                      <w:sz w:val="21"/>
                      <w:szCs w:val="21"/>
                      <w:lang w:eastAsia="tr-TR"/>
                    </w:rPr>
                    <w:t>Ingredient Name</w:t>
                  </w:r>
                </w:p>
              </w:tc>
              <w:tc>
                <w:tcPr>
                  <w:tcW w:w="0" w:type="auto"/>
                  <w:tcBorders>
                    <w:top w:val="single" w:sz="6" w:space="0" w:color="000000"/>
                    <w:left w:val="nil"/>
                    <w:bottom w:val="nil"/>
                    <w:right w:val="single" w:sz="6" w:space="0" w:color="auto"/>
                  </w:tcBorders>
                  <w:shd w:val="clear" w:color="auto" w:fill="FFCD6F"/>
                  <w:tcMar>
                    <w:top w:w="90" w:type="dxa"/>
                    <w:left w:w="90" w:type="dxa"/>
                    <w:bottom w:w="90" w:type="dxa"/>
                    <w:right w:w="90" w:type="dxa"/>
                  </w:tcMar>
                  <w:vAlign w:val="bottom"/>
                  <w:hideMark/>
                </w:tcPr>
                <w:p w:rsidR="0045530E" w:rsidRPr="0045530E" w:rsidRDefault="0045530E" w:rsidP="0045530E">
                  <w:pPr>
                    <w:spacing w:after="0" w:line="240" w:lineRule="auto"/>
                    <w:jc w:val="center"/>
                    <w:rPr>
                      <w:rFonts w:ascii="Arial" w:eastAsia="Times New Roman" w:hAnsi="Arial" w:cs="Arial"/>
                      <w:color w:val="000000"/>
                      <w:sz w:val="21"/>
                      <w:szCs w:val="21"/>
                      <w:lang w:eastAsia="tr-TR"/>
                    </w:rPr>
                  </w:pPr>
                  <w:r w:rsidRPr="0045530E">
                    <w:rPr>
                      <w:rFonts w:ascii="Arial" w:eastAsia="Times New Roman" w:hAnsi="Arial" w:cs="Arial"/>
                      <w:color w:val="000000"/>
                      <w:sz w:val="21"/>
                      <w:szCs w:val="21"/>
                      <w:lang w:eastAsia="tr-TR"/>
                    </w:rPr>
                    <w:t>Basis of Strength</w:t>
                  </w:r>
                </w:p>
              </w:tc>
              <w:tc>
                <w:tcPr>
                  <w:tcW w:w="0" w:type="auto"/>
                  <w:tcBorders>
                    <w:top w:val="single" w:sz="6" w:space="0" w:color="000000"/>
                    <w:left w:val="nil"/>
                    <w:bottom w:val="nil"/>
                    <w:right w:val="single" w:sz="6" w:space="0" w:color="auto"/>
                  </w:tcBorders>
                  <w:shd w:val="clear" w:color="auto" w:fill="FFCD6F"/>
                  <w:tcMar>
                    <w:top w:w="90" w:type="dxa"/>
                    <w:left w:w="90" w:type="dxa"/>
                    <w:bottom w:w="90" w:type="dxa"/>
                    <w:right w:w="90" w:type="dxa"/>
                  </w:tcMar>
                  <w:vAlign w:val="bottom"/>
                  <w:hideMark/>
                </w:tcPr>
                <w:p w:rsidR="0045530E" w:rsidRPr="0045530E" w:rsidRDefault="0045530E" w:rsidP="0045530E">
                  <w:pPr>
                    <w:spacing w:after="0" w:line="240" w:lineRule="auto"/>
                    <w:jc w:val="center"/>
                    <w:rPr>
                      <w:rFonts w:ascii="Arial" w:eastAsia="Times New Roman" w:hAnsi="Arial" w:cs="Arial"/>
                      <w:color w:val="000000"/>
                      <w:sz w:val="21"/>
                      <w:szCs w:val="21"/>
                      <w:lang w:eastAsia="tr-TR"/>
                    </w:rPr>
                  </w:pPr>
                  <w:r w:rsidRPr="0045530E">
                    <w:rPr>
                      <w:rFonts w:ascii="Arial" w:eastAsia="Times New Roman" w:hAnsi="Arial" w:cs="Arial"/>
                      <w:color w:val="000000"/>
                      <w:sz w:val="21"/>
                      <w:szCs w:val="21"/>
                      <w:lang w:eastAsia="tr-TR"/>
                    </w:rPr>
                    <w:t>Strength</w:t>
                  </w:r>
                </w:p>
              </w:tc>
            </w:tr>
            <w:tr w:rsidR="0045530E" w:rsidRPr="0045530E">
              <w:tc>
                <w:tcPr>
                  <w:tcW w:w="6" w:type="dxa"/>
                  <w:tcBorders>
                    <w:top w:val="single" w:sz="6" w:space="0" w:color="000000"/>
                    <w:left w:val="nil"/>
                    <w:bottom w:val="nil"/>
                    <w:right w:val="single" w:sz="6" w:space="0" w:color="000000"/>
                  </w:tcBorders>
                  <w:shd w:val="clear" w:color="auto" w:fill="FFFFFF"/>
                  <w:tcMar>
                    <w:top w:w="90" w:type="dxa"/>
                    <w:left w:w="90" w:type="dxa"/>
                    <w:bottom w:w="90" w:type="dxa"/>
                    <w:right w:w="90" w:type="dxa"/>
                  </w:tcMar>
                  <w:hideMark/>
                </w:tcPr>
                <w:p w:rsidR="0045530E" w:rsidRPr="0045530E" w:rsidRDefault="0045530E" w:rsidP="0045530E">
                  <w:pPr>
                    <w:spacing w:after="0" w:line="240" w:lineRule="auto"/>
                    <w:rPr>
                      <w:rFonts w:ascii="Arial" w:eastAsia="Times New Roman" w:hAnsi="Arial" w:cs="Arial"/>
                      <w:color w:val="000000"/>
                      <w:sz w:val="21"/>
                      <w:szCs w:val="21"/>
                      <w:lang w:eastAsia="tr-TR"/>
                    </w:rPr>
                  </w:pPr>
                  <w:r w:rsidRPr="0045530E">
                    <w:rPr>
                      <w:rFonts w:ascii="Arial" w:eastAsia="Times New Roman" w:hAnsi="Arial" w:cs="Arial"/>
                      <w:color w:val="000000"/>
                      <w:sz w:val="21"/>
                      <w:szCs w:val="21"/>
                      <w:bdr w:val="none" w:sz="0" w:space="0" w:color="auto" w:frame="1"/>
                      <w:lang w:eastAsia="tr-TR"/>
                    </w:rPr>
                    <w:t>CELECOXIB</w:t>
                  </w:r>
                  <w:r w:rsidRPr="0045530E">
                    <w:rPr>
                      <w:rFonts w:ascii="Arial" w:eastAsia="Times New Roman" w:hAnsi="Arial" w:cs="Arial"/>
                      <w:color w:val="000000"/>
                      <w:sz w:val="21"/>
                      <w:szCs w:val="21"/>
                      <w:lang w:eastAsia="tr-TR"/>
                    </w:rPr>
                    <w:t> (UNII: JCX84Q7J1L) (CELECOXIB - UNII:JCX84Q7J1L)</w:t>
                  </w:r>
                </w:p>
              </w:tc>
              <w:tc>
                <w:tcPr>
                  <w:tcW w:w="6" w:type="dxa"/>
                  <w:tcBorders>
                    <w:top w:val="single" w:sz="6" w:space="0" w:color="000000"/>
                    <w:left w:val="nil"/>
                    <w:bottom w:val="nil"/>
                    <w:right w:val="single" w:sz="6" w:space="0" w:color="000000"/>
                  </w:tcBorders>
                  <w:shd w:val="clear" w:color="auto" w:fill="FFFFFF"/>
                  <w:tcMar>
                    <w:top w:w="90" w:type="dxa"/>
                    <w:left w:w="90" w:type="dxa"/>
                    <w:bottom w:w="90" w:type="dxa"/>
                    <w:right w:w="90" w:type="dxa"/>
                  </w:tcMar>
                  <w:hideMark/>
                </w:tcPr>
                <w:p w:rsidR="0045530E" w:rsidRPr="0045530E" w:rsidRDefault="0045530E" w:rsidP="0045530E">
                  <w:pPr>
                    <w:spacing w:after="0" w:line="240" w:lineRule="auto"/>
                    <w:rPr>
                      <w:rFonts w:ascii="Arial" w:eastAsia="Times New Roman" w:hAnsi="Arial" w:cs="Arial"/>
                      <w:color w:val="000000"/>
                      <w:sz w:val="21"/>
                      <w:szCs w:val="21"/>
                      <w:lang w:eastAsia="tr-TR"/>
                    </w:rPr>
                  </w:pPr>
                  <w:r w:rsidRPr="0045530E">
                    <w:rPr>
                      <w:rFonts w:ascii="Arial" w:eastAsia="Times New Roman" w:hAnsi="Arial" w:cs="Arial"/>
                      <w:color w:val="000000"/>
                      <w:sz w:val="21"/>
                      <w:szCs w:val="21"/>
                      <w:lang w:eastAsia="tr-TR"/>
                    </w:rPr>
                    <w:t>CELECOXIB</w:t>
                  </w:r>
                </w:p>
              </w:tc>
              <w:tc>
                <w:tcPr>
                  <w:tcW w:w="6" w:type="dxa"/>
                  <w:tcBorders>
                    <w:top w:val="single" w:sz="6" w:space="0" w:color="000000"/>
                    <w:left w:val="nil"/>
                    <w:bottom w:val="nil"/>
                    <w:right w:val="single" w:sz="6" w:space="0" w:color="000000"/>
                  </w:tcBorders>
                  <w:shd w:val="clear" w:color="auto" w:fill="FFFFFF"/>
                  <w:tcMar>
                    <w:top w:w="90" w:type="dxa"/>
                    <w:left w:w="90" w:type="dxa"/>
                    <w:bottom w:w="90" w:type="dxa"/>
                    <w:right w:w="90" w:type="dxa"/>
                  </w:tcMar>
                  <w:hideMark/>
                </w:tcPr>
                <w:p w:rsidR="0045530E" w:rsidRPr="0045530E" w:rsidRDefault="0045530E" w:rsidP="0045530E">
                  <w:pPr>
                    <w:spacing w:after="0" w:line="240" w:lineRule="auto"/>
                    <w:rPr>
                      <w:rFonts w:ascii="Arial" w:eastAsia="Times New Roman" w:hAnsi="Arial" w:cs="Arial"/>
                      <w:color w:val="000000"/>
                      <w:sz w:val="21"/>
                      <w:szCs w:val="21"/>
                      <w:lang w:eastAsia="tr-TR"/>
                    </w:rPr>
                  </w:pPr>
                  <w:r w:rsidRPr="0045530E">
                    <w:rPr>
                      <w:rFonts w:ascii="Arial" w:eastAsia="Times New Roman" w:hAnsi="Arial" w:cs="Arial"/>
                      <w:color w:val="000000"/>
                      <w:sz w:val="21"/>
                      <w:szCs w:val="21"/>
                      <w:lang w:eastAsia="tr-TR"/>
                    </w:rPr>
                    <w:t>400 mg</w:t>
                  </w:r>
                </w:p>
              </w:tc>
            </w:tr>
          </w:tbl>
          <w:p w:rsidR="0045530E" w:rsidRPr="0045530E" w:rsidRDefault="0045530E" w:rsidP="0045530E">
            <w:pPr>
              <w:spacing w:after="0" w:line="240" w:lineRule="atLeast"/>
              <w:rPr>
                <w:rFonts w:ascii="Arial" w:eastAsia="Times New Roman" w:hAnsi="Arial" w:cs="Arial"/>
                <w:sz w:val="21"/>
                <w:szCs w:val="21"/>
                <w:lang w:eastAsia="tr-TR"/>
              </w:rPr>
            </w:pPr>
          </w:p>
        </w:tc>
      </w:tr>
      <w:tr w:rsidR="0045530E" w:rsidRPr="0045530E" w:rsidTr="0045530E">
        <w:trPr>
          <w:gridAfter w:val="1"/>
        </w:trPr>
        <w:tc>
          <w:tcPr>
            <w:tcW w:w="6" w:type="dxa"/>
            <w:gridSpan w:val="2"/>
            <w:tcBorders>
              <w:top w:val="nil"/>
              <w:left w:val="nil"/>
              <w:bottom w:val="nil"/>
              <w:right w:val="nil"/>
            </w:tcBorders>
            <w:tcMar>
              <w:top w:w="90" w:type="dxa"/>
              <w:left w:w="90" w:type="dxa"/>
              <w:bottom w:w="90" w:type="dxa"/>
              <w:right w:w="90" w:type="dxa"/>
            </w:tcMar>
            <w:hideMark/>
          </w:tcPr>
          <w:tbl>
            <w:tblPr>
              <w:tblW w:w="5000" w:type="pct"/>
              <w:tblCellMar>
                <w:left w:w="0" w:type="dxa"/>
                <w:right w:w="0" w:type="dxa"/>
              </w:tblCellMar>
              <w:tblLook w:val="04A0" w:firstRow="1" w:lastRow="0" w:firstColumn="1" w:lastColumn="0" w:noHBand="0" w:noVBand="1"/>
            </w:tblPr>
            <w:tblGrid>
              <w:gridCol w:w="5150"/>
              <w:gridCol w:w="2053"/>
            </w:tblGrid>
            <w:tr w:rsidR="0045530E" w:rsidRPr="0045530E">
              <w:tc>
                <w:tcPr>
                  <w:tcW w:w="6" w:type="dxa"/>
                  <w:gridSpan w:val="2"/>
                  <w:tcBorders>
                    <w:top w:val="single" w:sz="6" w:space="0" w:color="000000"/>
                    <w:left w:val="single" w:sz="6" w:space="0" w:color="000000"/>
                    <w:bottom w:val="single" w:sz="6" w:space="0" w:color="000000"/>
                    <w:right w:val="single" w:sz="6" w:space="0" w:color="000000"/>
                  </w:tcBorders>
                  <w:shd w:val="clear" w:color="auto" w:fill="2B789F"/>
                  <w:tcMar>
                    <w:top w:w="120" w:type="dxa"/>
                    <w:left w:w="120" w:type="dxa"/>
                    <w:bottom w:w="120" w:type="dxa"/>
                    <w:right w:w="120" w:type="dxa"/>
                  </w:tcMar>
                  <w:hideMark/>
                </w:tcPr>
                <w:p w:rsidR="0045530E" w:rsidRPr="0045530E" w:rsidRDefault="0045530E" w:rsidP="0045530E">
                  <w:pPr>
                    <w:spacing w:after="0" w:line="240" w:lineRule="auto"/>
                    <w:rPr>
                      <w:rFonts w:ascii="Arial" w:eastAsia="Times New Roman" w:hAnsi="Arial" w:cs="Arial"/>
                      <w:caps/>
                      <w:color w:val="FFFFFF"/>
                      <w:sz w:val="21"/>
                      <w:szCs w:val="21"/>
                      <w:lang w:eastAsia="tr-TR"/>
                    </w:rPr>
                  </w:pPr>
                  <w:r w:rsidRPr="0045530E">
                    <w:rPr>
                      <w:rFonts w:ascii="Arial" w:eastAsia="Times New Roman" w:hAnsi="Arial" w:cs="Arial"/>
                      <w:caps/>
                      <w:color w:val="FFFFFF"/>
                      <w:sz w:val="21"/>
                      <w:szCs w:val="21"/>
                      <w:lang w:eastAsia="tr-TR"/>
                    </w:rPr>
                    <w:t>INACTIVE INGREDIENTS</w:t>
                  </w:r>
                </w:p>
              </w:tc>
            </w:tr>
            <w:tr w:rsidR="0045530E" w:rsidRPr="0045530E">
              <w:tc>
                <w:tcPr>
                  <w:tcW w:w="0" w:type="auto"/>
                  <w:tcBorders>
                    <w:top w:val="single" w:sz="6" w:space="0" w:color="000000"/>
                    <w:left w:val="nil"/>
                    <w:bottom w:val="nil"/>
                    <w:right w:val="single" w:sz="6" w:space="0" w:color="auto"/>
                  </w:tcBorders>
                  <w:shd w:val="clear" w:color="auto" w:fill="FFCD6F"/>
                  <w:tcMar>
                    <w:top w:w="90" w:type="dxa"/>
                    <w:left w:w="90" w:type="dxa"/>
                    <w:bottom w:w="90" w:type="dxa"/>
                    <w:right w:w="90" w:type="dxa"/>
                  </w:tcMar>
                  <w:vAlign w:val="bottom"/>
                  <w:hideMark/>
                </w:tcPr>
                <w:p w:rsidR="0045530E" w:rsidRPr="0045530E" w:rsidRDefault="0045530E" w:rsidP="0045530E">
                  <w:pPr>
                    <w:spacing w:after="0" w:line="240" w:lineRule="auto"/>
                    <w:jc w:val="center"/>
                    <w:rPr>
                      <w:rFonts w:ascii="Arial" w:eastAsia="Times New Roman" w:hAnsi="Arial" w:cs="Arial"/>
                      <w:color w:val="000000"/>
                      <w:sz w:val="21"/>
                      <w:szCs w:val="21"/>
                      <w:lang w:eastAsia="tr-TR"/>
                    </w:rPr>
                  </w:pPr>
                  <w:r w:rsidRPr="0045530E">
                    <w:rPr>
                      <w:rFonts w:ascii="Arial" w:eastAsia="Times New Roman" w:hAnsi="Arial" w:cs="Arial"/>
                      <w:color w:val="000000"/>
                      <w:sz w:val="21"/>
                      <w:szCs w:val="21"/>
                      <w:lang w:eastAsia="tr-TR"/>
                    </w:rPr>
                    <w:t>Ingredient Name</w:t>
                  </w:r>
                </w:p>
              </w:tc>
              <w:tc>
                <w:tcPr>
                  <w:tcW w:w="0" w:type="auto"/>
                  <w:tcBorders>
                    <w:top w:val="single" w:sz="6" w:space="0" w:color="000000"/>
                    <w:left w:val="nil"/>
                    <w:bottom w:val="nil"/>
                    <w:right w:val="single" w:sz="6" w:space="0" w:color="auto"/>
                  </w:tcBorders>
                  <w:shd w:val="clear" w:color="auto" w:fill="FFCD6F"/>
                  <w:tcMar>
                    <w:top w:w="90" w:type="dxa"/>
                    <w:left w:w="90" w:type="dxa"/>
                    <w:bottom w:w="90" w:type="dxa"/>
                    <w:right w:w="90" w:type="dxa"/>
                  </w:tcMar>
                  <w:vAlign w:val="bottom"/>
                  <w:hideMark/>
                </w:tcPr>
                <w:p w:rsidR="0045530E" w:rsidRPr="0045530E" w:rsidRDefault="0045530E" w:rsidP="0045530E">
                  <w:pPr>
                    <w:spacing w:after="0" w:line="240" w:lineRule="auto"/>
                    <w:jc w:val="center"/>
                    <w:rPr>
                      <w:rFonts w:ascii="Arial" w:eastAsia="Times New Roman" w:hAnsi="Arial" w:cs="Arial"/>
                      <w:color w:val="000000"/>
                      <w:sz w:val="21"/>
                      <w:szCs w:val="21"/>
                      <w:lang w:eastAsia="tr-TR"/>
                    </w:rPr>
                  </w:pPr>
                  <w:r w:rsidRPr="0045530E">
                    <w:rPr>
                      <w:rFonts w:ascii="Arial" w:eastAsia="Times New Roman" w:hAnsi="Arial" w:cs="Arial"/>
                      <w:color w:val="000000"/>
                      <w:sz w:val="21"/>
                      <w:szCs w:val="21"/>
                      <w:lang w:eastAsia="tr-TR"/>
                    </w:rPr>
                    <w:t>Strength</w:t>
                  </w:r>
                </w:p>
              </w:tc>
            </w:tr>
            <w:tr w:rsidR="0045530E" w:rsidRPr="0045530E">
              <w:tc>
                <w:tcPr>
                  <w:tcW w:w="6" w:type="dxa"/>
                  <w:tcBorders>
                    <w:top w:val="single" w:sz="6" w:space="0" w:color="000000"/>
                    <w:left w:val="nil"/>
                    <w:bottom w:val="nil"/>
                    <w:right w:val="single" w:sz="6" w:space="0" w:color="000000"/>
                  </w:tcBorders>
                  <w:shd w:val="clear" w:color="auto" w:fill="FFFFFF"/>
                  <w:tcMar>
                    <w:top w:w="90" w:type="dxa"/>
                    <w:left w:w="90" w:type="dxa"/>
                    <w:bottom w:w="90" w:type="dxa"/>
                    <w:right w:w="90" w:type="dxa"/>
                  </w:tcMar>
                  <w:hideMark/>
                </w:tcPr>
                <w:p w:rsidR="0045530E" w:rsidRPr="0045530E" w:rsidRDefault="0045530E" w:rsidP="0045530E">
                  <w:pPr>
                    <w:spacing w:after="0" w:line="240" w:lineRule="auto"/>
                    <w:rPr>
                      <w:rFonts w:ascii="Arial" w:eastAsia="Times New Roman" w:hAnsi="Arial" w:cs="Arial"/>
                      <w:color w:val="000000"/>
                      <w:sz w:val="21"/>
                      <w:szCs w:val="21"/>
                      <w:lang w:eastAsia="tr-TR"/>
                    </w:rPr>
                  </w:pPr>
                  <w:r w:rsidRPr="0045530E">
                    <w:rPr>
                      <w:rFonts w:ascii="Arial" w:eastAsia="Times New Roman" w:hAnsi="Arial" w:cs="Arial"/>
                      <w:color w:val="000000"/>
                      <w:sz w:val="21"/>
                      <w:szCs w:val="21"/>
                      <w:bdr w:val="none" w:sz="0" w:space="0" w:color="auto" w:frame="1"/>
                      <w:lang w:eastAsia="tr-TR"/>
                    </w:rPr>
                    <w:t>LACTOSE MONOHYDRATE</w:t>
                  </w:r>
                  <w:r w:rsidRPr="0045530E">
                    <w:rPr>
                      <w:rFonts w:ascii="Arial" w:eastAsia="Times New Roman" w:hAnsi="Arial" w:cs="Arial"/>
                      <w:color w:val="000000"/>
                      <w:sz w:val="21"/>
                      <w:szCs w:val="21"/>
                      <w:lang w:eastAsia="tr-TR"/>
                    </w:rPr>
                    <w:t> (UNII: EWQ57Q8I5X)</w:t>
                  </w:r>
                </w:p>
              </w:tc>
              <w:tc>
                <w:tcPr>
                  <w:tcW w:w="6" w:type="dxa"/>
                  <w:tcBorders>
                    <w:top w:val="single" w:sz="6" w:space="0" w:color="000000"/>
                    <w:left w:val="nil"/>
                    <w:bottom w:val="nil"/>
                    <w:right w:val="single" w:sz="6" w:space="0" w:color="000000"/>
                  </w:tcBorders>
                  <w:shd w:val="clear" w:color="auto" w:fill="FFFFFF"/>
                  <w:tcMar>
                    <w:top w:w="90" w:type="dxa"/>
                    <w:left w:w="90" w:type="dxa"/>
                    <w:bottom w:w="90" w:type="dxa"/>
                    <w:right w:w="90" w:type="dxa"/>
                  </w:tcMar>
                  <w:hideMark/>
                </w:tcPr>
                <w:p w:rsidR="0045530E" w:rsidRPr="0045530E" w:rsidRDefault="0045530E" w:rsidP="0045530E">
                  <w:pPr>
                    <w:spacing w:after="0" w:line="240" w:lineRule="auto"/>
                    <w:rPr>
                      <w:rFonts w:ascii="Arial" w:eastAsia="Times New Roman" w:hAnsi="Arial" w:cs="Arial"/>
                      <w:color w:val="000000"/>
                      <w:sz w:val="21"/>
                      <w:szCs w:val="21"/>
                      <w:lang w:eastAsia="tr-TR"/>
                    </w:rPr>
                  </w:pPr>
                  <w:r w:rsidRPr="0045530E">
                    <w:rPr>
                      <w:rFonts w:ascii="Arial" w:eastAsia="Times New Roman" w:hAnsi="Arial" w:cs="Arial"/>
                      <w:color w:val="000000"/>
                      <w:sz w:val="21"/>
                      <w:szCs w:val="21"/>
                      <w:lang w:eastAsia="tr-TR"/>
                    </w:rPr>
                    <w:t> </w:t>
                  </w:r>
                </w:p>
              </w:tc>
            </w:tr>
            <w:tr w:rsidR="0045530E" w:rsidRPr="0045530E">
              <w:tc>
                <w:tcPr>
                  <w:tcW w:w="6" w:type="dxa"/>
                  <w:tcBorders>
                    <w:top w:val="single" w:sz="6" w:space="0" w:color="000000"/>
                    <w:left w:val="nil"/>
                    <w:bottom w:val="nil"/>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Arial" w:eastAsia="Times New Roman" w:hAnsi="Arial" w:cs="Arial"/>
                      <w:color w:val="000000"/>
                      <w:sz w:val="21"/>
                      <w:szCs w:val="21"/>
                      <w:lang w:eastAsia="tr-TR"/>
                    </w:rPr>
                  </w:pPr>
                  <w:r w:rsidRPr="0045530E">
                    <w:rPr>
                      <w:rFonts w:ascii="Arial" w:eastAsia="Times New Roman" w:hAnsi="Arial" w:cs="Arial"/>
                      <w:color w:val="000000"/>
                      <w:sz w:val="21"/>
                      <w:szCs w:val="21"/>
                      <w:bdr w:val="none" w:sz="0" w:space="0" w:color="auto" w:frame="1"/>
                      <w:lang w:eastAsia="tr-TR"/>
                    </w:rPr>
                    <w:t>CROSCARMELLOSE SODIUM</w:t>
                  </w:r>
                  <w:r w:rsidRPr="0045530E">
                    <w:rPr>
                      <w:rFonts w:ascii="Arial" w:eastAsia="Times New Roman" w:hAnsi="Arial" w:cs="Arial"/>
                      <w:color w:val="000000"/>
                      <w:sz w:val="21"/>
                      <w:szCs w:val="21"/>
                      <w:lang w:eastAsia="tr-TR"/>
                    </w:rPr>
                    <w:t> (UNII: M28OL1HH48)</w:t>
                  </w:r>
                </w:p>
              </w:tc>
              <w:tc>
                <w:tcPr>
                  <w:tcW w:w="6" w:type="dxa"/>
                  <w:tcBorders>
                    <w:top w:val="single" w:sz="6" w:space="0" w:color="000000"/>
                    <w:left w:val="nil"/>
                    <w:bottom w:val="nil"/>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Arial" w:eastAsia="Times New Roman" w:hAnsi="Arial" w:cs="Arial"/>
                      <w:color w:val="000000"/>
                      <w:sz w:val="21"/>
                      <w:szCs w:val="21"/>
                      <w:lang w:eastAsia="tr-TR"/>
                    </w:rPr>
                  </w:pPr>
                  <w:r w:rsidRPr="0045530E">
                    <w:rPr>
                      <w:rFonts w:ascii="Arial" w:eastAsia="Times New Roman" w:hAnsi="Arial" w:cs="Arial"/>
                      <w:color w:val="000000"/>
                      <w:sz w:val="21"/>
                      <w:szCs w:val="21"/>
                      <w:lang w:eastAsia="tr-TR"/>
                    </w:rPr>
                    <w:t> </w:t>
                  </w:r>
                </w:p>
              </w:tc>
            </w:tr>
            <w:tr w:rsidR="0045530E" w:rsidRPr="0045530E">
              <w:tc>
                <w:tcPr>
                  <w:tcW w:w="6" w:type="dxa"/>
                  <w:tcBorders>
                    <w:top w:val="single" w:sz="6" w:space="0" w:color="000000"/>
                    <w:left w:val="nil"/>
                    <w:bottom w:val="nil"/>
                    <w:right w:val="single" w:sz="6" w:space="0" w:color="000000"/>
                  </w:tcBorders>
                  <w:shd w:val="clear" w:color="auto" w:fill="FFFFFF"/>
                  <w:tcMar>
                    <w:top w:w="90" w:type="dxa"/>
                    <w:left w:w="90" w:type="dxa"/>
                    <w:bottom w:w="90" w:type="dxa"/>
                    <w:right w:w="90" w:type="dxa"/>
                  </w:tcMar>
                  <w:hideMark/>
                </w:tcPr>
                <w:p w:rsidR="0045530E" w:rsidRPr="0045530E" w:rsidRDefault="0045530E" w:rsidP="0045530E">
                  <w:pPr>
                    <w:spacing w:after="0" w:line="240" w:lineRule="auto"/>
                    <w:rPr>
                      <w:rFonts w:ascii="Arial" w:eastAsia="Times New Roman" w:hAnsi="Arial" w:cs="Arial"/>
                      <w:color w:val="000000"/>
                      <w:sz w:val="21"/>
                      <w:szCs w:val="21"/>
                      <w:lang w:eastAsia="tr-TR"/>
                    </w:rPr>
                  </w:pPr>
                  <w:r w:rsidRPr="0045530E">
                    <w:rPr>
                      <w:rFonts w:ascii="Arial" w:eastAsia="Times New Roman" w:hAnsi="Arial" w:cs="Arial"/>
                      <w:color w:val="000000"/>
                      <w:sz w:val="21"/>
                      <w:szCs w:val="21"/>
                      <w:bdr w:val="none" w:sz="0" w:space="0" w:color="auto" w:frame="1"/>
                      <w:lang w:eastAsia="tr-TR"/>
                    </w:rPr>
                    <w:t>SODIUM LAURYL SULFATE</w:t>
                  </w:r>
                  <w:r w:rsidRPr="0045530E">
                    <w:rPr>
                      <w:rFonts w:ascii="Arial" w:eastAsia="Times New Roman" w:hAnsi="Arial" w:cs="Arial"/>
                      <w:color w:val="000000"/>
                      <w:sz w:val="21"/>
                      <w:szCs w:val="21"/>
                      <w:lang w:eastAsia="tr-TR"/>
                    </w:rPr>
                    <w:t> (UNII: 368GB5141J)</w:t>
                  </w:r>
                </w:p>
              </w:tc>
              <w:tc>
                <w:tcPr>
                  <w:tcW w:w="6" w:type="dxa"/>
                  <w:tcBorders>
                    <w:top w:val="single" w:sz="6" w:space="0" w:color="000000"/>
                    <w:left w:val="nil"/>
                    <w:bottom w:val="nil"/>
                    <w:right w:val="single" w:sz="6" w:space="0" w:color="000000"/>
                  </w:tcBorders>
                  <w:shd w:val="clear" w:color="auto" w:fill="FFFFFF"/>
                  <w:tcMar>
                    <w:top w:w="90" w:type="dxa"/>
                    <w:left w:w="90" w:type="dxa"/>
                    <w:bottom w:w="90" w:type="dxa"/>
                    <w:right w:w="90" w:type="dxa"/>
                  </w:tcMar>
                  <w:hideMark/>
                </w:tcPr>
                <w:p w:rsidR="0045530E" w:rsidRPr="0045530E" w:rsidRDefault="0045530E" w:rsidP="0045530E">
                  <w:pPr>
                    <w:spacing w:after="0" w:line="240" w:lineRule="auto"/>
                    <w:rPr>
                      <w:rFonts w:ascii="Arial" w:eastAsia="Times New Roman" w:hAnsi="Arial" w:cs="Arial"/>
                      <w:color w:val="000000"/>
                      <w:sz w:val="21"/>
                      <w:szCs w:val="21"/>
                      <w:lang w:eastAsia="tr-TR"/>
                    </w:rPr>
                  </w:pPr>
                  <w:r w:rsidRPr="0045530E">
                    <w:rPr>
                      <w:rFonts w:ascii="Arial" w:eastAsia="Times New Roman" w:hAnsi="Arial" w:cs="Arial"/>
                      <w:color w:val="000000"/>
                      <w:sz w:val="21"/>
                      <w:szCs w:val="21"/>
                      <w:lang w:eastAsia="tr-TR"/>
                    </w:rPr>
                    <w:t> </w:t>
                  </w:r>
                </w:p>
              </w:tc>
            </w:tr>
            <w:tr w:rsidR="0045530E" w:rsidRPr="0045530E">
              <w:tc>
                <w:tcPr>
                  <w:tcW w:w="6" w:type="dxa"/>
                  <w:tcBorders>
                    <w:top w:val="single" w:sz="6" w:space="0" w:color="000000"/>
                    <w:left w:val="nil"/>
                    <w:bottom w:val="nil"/>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Arial" w:eastAsia="Times New Roman" w:hAnsi="Arial" w:cs="Arial"/>
                      <w:color w:val="000000"/>
                      <w:sz w:val="21"/>
                      <w:szCs w:val="21"/>
                      <w:lang w:eastAsia="tr-TR"/>
                    </w:rPr>
                  </w:pPr>
                  <w:r w:rsidRPr="0045530E">
                    <w:rPr>
                      <w:rFonts w:ascii="Arial" w:eastAsia="Times New Roman" w:hAnsi="Arial" w:cs="Arial"/>
                      <w:color w:val="000000"/>
                      <w:sz w:val="21"/>
                      <w:szCs w:val="21"/>
                      <w:bdr w:val="none" w:sz="0" w:space="0" w:color="auto" w:frame="1"/>
                      <w:lang w:eastAsia="tr-TR"/>
                    </w:rPr>
                    <w:t>MAGNESIUM STEARATE</w:t>
                  </w:r>
                  <w:r w:rsidRPr="0045530E">
                    <w:rPr>
                      <w:rFonts w:ascii="Arial" w:eastAsia="Times New Roman" w:hAnsi="Arial" w:cs="Arial"/>
                      <w:color w:val="000000"/>
                      <w:sz w:val="21"/>
                      <w:szCs w:val="21"/>
                      <w:lang w:eastAsia="tr-TR"/>
                    </w:rPr>
                    <w:t> (UNII: 70097M6I30)</w:t>
                  </w:r>
                </w:p>
              </w:tc>
              <w:tc>
                <w:tcPr>
                  <w:tcW w:w="6" w:type="dxa"/>
                  <w:tcBorders>
                    <w:top w:val="single" w:sz="6" w:space="0" w:color="000000"/>
                    <w:left w:val="nil"/>
                    <w:bottom w:val="nil"/>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Arial" w:eastAsia="Times New Roman" w:hAnsi="Arial" w:cs="Arial"/>
                      <w:color w:val="000000"/>
                      <w:sz w:val="21"/>
                      <w:szCs w:val="21"/>
                      <w:lang w:eastAsia="tr-TR"/>
                    </w:rPr>
                  </w:pPr>
                  <w:r w:rsidRPr="0045530E">
                    <w:rPr>
                      <w:rFonts w:ascii="Arial" w:eastAsia="Times New Roman" w:hAnsi="Arial" w:cs="Arial"/>
                      <w:color w:val="000000"/>
                      <w:sz w:val="21"/>
                      <w:szCs w:val="21"/>
                      <w:lang w:eastAsia="tr-TR"/>
                    </w:rPr>
                    <w:t> </w:t>
                  </w:r>
                </w:p>
              </w:tc>
            </w:tr>
            <w:tr w:rsidR="0045530E" w:rsidRPr="0045530E">
              <w:tc>
                <w:tcPr>
                  <w:tcW w:w="6" w:type="dxa"/>
                  <w:tcBorders>
                    <w:top w:val="single" w:sz="6" w:space="0" w:color="000000"/>
                    <w:left w:val="nil"/>
                    <w:bottom w:val="nil"/>
                    <w:right w:val="single" w:sz="6" w:space="0" w:color="000000"/>
                  </w:tcBorders>
                  <w:shd w:val="clear" w:color="auto" w:fill="FFFFFF"/>
                  <w:tcMar>
                    <w:top w:w="90" w:type="dxa"/>
                    <w:left w:w="90" w:type="dxa"/>
                    <w:bottom w:w="90" w:type="dxa"/>
                    <w:right w:w="90" w:type="dxa"/>
                  </w:tcMar>
                  <w:hideMark/>
                </w:tcPr>
                <w:p w:rsidR="0045530E" w:rsidRPr="0045530E" w:rsidRDefault="0045530E" w:rsidP="0045530E">
                  <w:pPr>
                    <w:spacing w:after="0" w:line="240" w:lineRule="auto"/>
                    <w:rPr>
                      <w:rFonts w:ascii="Arial" w:eastAsia="Times New Roman" w:hAnsi="Arial" w:cs="Arial"/>
                      <w:color w:val="000000"/>
                      <w:sz w:val="21"/>
                      <w:szCs w:val="21"/>
                      <w:lang w:eastAsia="tr-TR"/>
                    </w:rPr>
                  </w:pPr>
                  <w:r w:rsidRPr="0045530E">
                    <w:rPr>
                      <w:rFonts w:ascii="Arial" w:eastAsia="Times New Roman" w:hAnsi="Arial" w:cs="Arial"/>
                      <w:color w:val="000000"/>
                      <w:sz w:val="21"/>
                      <w:szCs w:val="21"/>
                      <w:bdr w:val="none" w:sz="0" w:space="0" w:color="auto" w:frame="1"/>
                      <w:lang w:eastAsia="tr-TR"/>
                    </w:rPr>
                    <w:t>TITANIUM DIOXIDE</w:t>
                  </w:r>
                  <w:r w:rsidRPr="0045530E">
                    <w:rPr>
                      <w:rFonts w:ascii="Arial" w:eastAsia="Times New Roman" w:hAnsi="Arial" w:cs="Arial"/>
                      <w:color w:val="000000"/>
                      <w:sz w:val="21"/>
                      <w:szCs w:val="21"/>
                      <w:lang w:eastAsia="tr-TR"/>
                    </w:rPr>
                    <w:t> (UNII: 15FIX9V2JP)</w:t>
                  </w:r>
                </w:p>
              </w:tc>
              <w:tc>
                <w:tcPr>
                  <w:tcW w:w="6" w:type="dxa"/>
                  <w:tcBorders>
                    <w:top w:val="single" w:sz="6" w:space="0" w:color="000000"/>
                    <w:left w:val="nil"/>
                    <w:bottom w:val="nil"/>
                    <w:right w:val="single" w:sz="6" w:space="0" w:color="000000"/>
                  </w:tcBorders>
                  <w:shd w:val="clear" w:color="auto" w:fill="FFFFFF"/>
                  <w:tcMar>
                    <w:top w:w="90" w:type="dxa"/>
                    <w:left w:w="90" w:type="dxa"/>
                    <w:bottom w:w="90" w:type="dxa"/>
                    <w:right w:w="90" w:type="dxa"/>
                  </w:tcMar>
                  <w:hideMark/>
                </w:tcPr>
                <w:p w:rsidR="0045530E" w:rsidRPr="0045530E" w:rsidRDefault="0045530E" w:rsidP="0045530E">
                  <w:pPr>
                    <w:spacing w:after="0" w:line="240" w:lineRule="auto"/>
                    <w:rPr>
                      <w:rFonts w:ascii="Arial" w:eastAsia="Times New Roman" w:hAnsi="Arial" w:cs="Arial"/>
                      <w:color w:val="000000"/>
                      <w:sz w:val="21"/>
                      <w:szCs w:val="21"/>
                      <w:lang w:eastAsia="tr-TR"/>
                    </w:rPr>
                  </w:pPr>
                  <w:r w:rsidRPr="0045530E">
                    <w:rPr>
                      <w:rFonts w:ascii="Arial" w:eastAsia="Times New Roman" w:hAnsi="Arial" w:cs="Arial"/>
                      <w:color w:val="000000"/>
                      <w:sz w:val="21"/>
                      <w:szCs w:val="21"/>
                      <w:lang w:eastAsia="tr-TR"/>
                    </w:rPr>
                    <w:t> </w:t>
                  </w:r>
                </w:p>
              </w:tc>
            </w:tr>
            <w:tr w:rsidR="0045530E" w:rsidRPr="0045530E">
              <w:tc>
                <w:tcPr>
                  <w:tcW w:w="6" w:type="dxa"/>
                  <w:tcBorders>
                    <w:top w:val="single" w:sz="6" w:space="0" w:color="000000"/>
                    <w:left w:val="nil"/>
                    <w:bottom w:val="nil"/>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Arial" w:eastAsia="Times New Roman" w:hAnsi="Arial" w:cs="Arial"/>
                      <w:color w:val="000000"/>
                      <w:sz w:val="21"/>
                      <w:szCs w:val="21"/>
                      <w:lang w:eastAsia="tr-TR"/>
                    </w:rPr>
                  </w:pPr>
                  <w:r w:rsidRPr="0045530E">
                    <w:rPr>
                      <w:rFonts w:ascii="Arial" w:eastAsia="Times New Roman" w:hAnsi="Arial" w:cs="Arial"/>
                      <w:color w:val="000000"/>
                      <w:sz w:val="21"/>
                      <w:szCs w:val="21"/>
                      <w:bdr w:val="none" w:sz="0" w:space="0" w:color="auto" w:frame="1"/>
                      <w:lang w:eastAsia="tr-TR"/>
                    </w:rPr>
                    <w:t>GELATIN</w:t>
                  </w:r>
                  <w:r w:rsidRPr="0045530E">
                    <w:rPr>
                      <w:rFonts w:ascii="Arial" w:eastAsia="Times New Roman" w:hAnsi="Arial" w:cs="Arial"/>
                      <w:color w:val="000000"/>
                      <w:sz w:val="21"/>
                      <w:szCs w:val="21"/>
                      <w:lang w:eastAsia="tr-TR"/>
                    </w:rPr>
                    <w:t> (UNII: 2G86QN327L)</w:t>
                  </w:r>
                </w:p>
              </w:tc>
              <w:tc>
                <w:tcPr>
                  <w:tcW w:w="6" w:type="dxa"/>
                  <w:tcBorders>
                    <w:top w:val="single" w:sz="6" w:space="0" w:color="000000"/>
                    <w:left w:val="nil"/>
                    <w:bottom w:val="nil"/>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Arial" w:eastAsia="Times New Roman" w:hAnsi="Arial" w:cs="Arial"/>
                      <w:color w:val="000000"/>
                      <w:sz w:val="21"/>
                      <w:szCs w:val="21"/>
                      <w:lang w:eastAsia="tr-TR"/>
                    </w:rPr>
                  </w:pPr>
                  <w:r w:rsidRPr="0045530E">
                    <w:rPr>
                      <w:rFonts w:ascii="Arial" w:eastAsia="Times New Roman" w:hAnsi="Arial" w:cs="Arial"/>
                      <w:color w:val="000000"/>
                      <w:sz w:val="21"/>
                      <w:szCs w:val="21"/>
                      <w:lang w:eastAsia="tr-TR"/>
                    </w:rPr>
                    <w:t> </w:t>
                  </w:r>
                </w:p>
              </w:tc>
            </w:tr>
            <w:tr w:rsidR="0045530E" w:rsidRPr="0045530E">
              <w:tc>
                <w:tcPr>
                  <w:tcW w:w="6" w:type="dxa"/>
                  <w:tcBorders>
                    <w:top w:val="single" w:sz="6" w:space="0" w:color="000000"/>
                    <w:left w:val="nil"/>
                    <w:bottom w:val="nil"/>
                    <w:right w:val="single" w:sz="6" w:space="0" w:color="000000"/>
                  </w:tcBorders>
                  <w:shd w:val="clear" w:color="auto" w:fill="FFFFFF"/>
                  <w:tcMar>
                    <w:top w:w="90" w:type="dxa"/>
                    <w:left w:w="90" w:type="dxa"/>
                    <w:bottom w:w="90" w:type="dxa"/>
                    <w:right w:w="90" w:type="dxa"/>
                  </w:tcMar>
                  <w:hideMark/>
                </w:tcPr>
                <w:p w:rsidR="0045530E" w:rsidRPr="0045530E" w:rsidRDefault="0045530E" w:rsidP="0045530E">
                  <w:pPr>
                    <w:spacing w:after="0" w:line="240" w:lineRule="auto"/>
                    <w:rPr>
                      <w:rFonts w:ascii="Arial" w:eastAsia="Times New Roman" w:hAnsi="Arial" w:cs="Arial"/>
                      <w:color w:val="000000"/>
                      <w:sz w:val="21"/>
                      <w:szCs w:val="21"/>
                      <w:lang w:eastAsia="tr-TR"/>
                    </w:rPr>
                  </w:pPr>
                  <w:r w:rsidRPr="0045530E">
                    <w:rPr>
                      <w:rFonts w:ascii="Arial" w:eastAsia="Times New Roman" w:hAnsi="Arial" w:cs="Arial"/>
                      <w:color w:val="000000"/>
                      <w:sz w:val="21"/>
                      <w:szCs w:val="21"/>
                      <w:bdr w:val="none" w:sz="0" w:space="0" w:color="auto" w:frame="1"/>
                      <w:lang w:eastAsia="tr-TR"/>
                    </w:rPr>
                    <w:t>SHELLAC</w:t>
                  </w:r>
                  <w:r w:rsidRPr="0045530E">
                    <w:rPr>
                      <w:rFonts w:ascii="Arial" w:eastAsia="Times New Roman" w:hAnsi="Arial" w:cs="Arial"/>
                      <w:color w:val="000000"/>
                      <w:sz w:val="21"/>
                      <w:szCs w:val="21"/>
                      <w:lang w:eastAsia="tr-TR"/>
                    </w:rPr>
                    <w:t> (UNII: 46N107B71O)</w:t>
                  </w:r>
                </w:p>
              </w:tc>
              <w:tc>
                <w:tcPr>
                  <w:tcW w:w="6" w:type="dxa"/>
                  <w:tcBorders>
                    <w:top w:val="single" w:sz="6" w:space="0" w:color="000000"/>
                    <w:left w:val="nil"/>
                    <w:bottom w:val="nil"/>
                    <w:right w:val="single" w:sz="6" w:space="0" w:color="000000"/>
                  </w:tcBorders>
                  <w:shd w:val="clear" w:color="auto" w:fill="FFFFFF"/>
                  <w:tcMar>
                    <w:top w:w="90" w:type="dxa"/>
                    <w:left w:w="90" w:type="dxa"/>
                    <w:bottom w:w="90" w:type="dxa"/>
                    <w:right w:w="90" w:type="dxa"/>
                  </w:tcMar>
                  <w:hideMark/>
                </w:tcPr>
                <w:p w:rsidR="0045530E" w:rsidRPr="0045530E" w:rsidRDefault="0045530E" w:rsidP="0045530E">
                  <w:pPr>
                    <w:spacing w:after="0" w:line="240" w:lineRule="auto"/>
                    <w:rPr>
                      <w:rFonts w:ascii="Arial" w:eastAsia="Times New Roman" w:hAnsi="Arial" w:cs="Arial"/>
                      <w:color w:val="000000"/>
                      <w:sz w:val="21"/>
                      <w:szCs w:val="21"/>
                      <w:lang w:eastAsia="tr-TR"/>
                    </w:rPr>
                  </w:pPr>
                  <w:r w:rsidRPr="0045530E">
                    <w:rPr>
                      <w:rFonts w:ascii="Arial" w:eastAsia="Times New Roman" w:hAnsi="Arial" w:cs="Arial"/>
                      <w:color w:val="000000"/>
                      <w:sz w:val="21"/>
                      <w:szCs w:val="21"/>
                      <w:lang w:eastAsia="tr-TR"/>
                    </w:rPr>
                    <w:t> </w:t>
                  </w:r>
                </w:p>
              </w:tc>
            </w:tr>
            <w:tr w:rsidR="0045530E" w:rsidRPr="0045530E">
              <w:tc>
                <w:tcPr>
                  <w:tcW w:w="6" w:type="dxa"/>
                  <w:tcBorders>
                    <w:top w:val="single" w:sz="6" w:space="0" w:color="000000"/>
                    <w:left w:val="nil"/>
                    <w:bottom w:val="nil"/>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Arial" w:eastAsia="Times New Roman" w:hAnsi="Arial" w:cs="Arial"/>
                      <w:color w:val="000000"/>
                      <w:sz w:val="21"/>
                      <w:szCs w:val="21"/>
                      <w:lang w:eastAsia="tr-TR"/>
                    </w:rPr>
                  </w:pPr>
                  <w:r w:rsidRPr="0045530E">
                    <w:rPr>
                      <w:rFonts w:ascii="Arial" w:eastAsia="Times New Roman" w:hAnsi="Arial" w:cs="Arial"/>
                      <w:color w:val="000000"/>
                      <w:sz w:val="21"/>
                      <w:szCs w:val="21"/>
                      <w:bdr w:val="none" w:sz="0" w:space="0" w:color="auto" w:frame="1"/>
                      <w:lang w:eastAsia="tr-TR"/>
                    </w:rPr>
                    <w:t>PROPYLENE GLYCOL</w:t>
                  </w:r>
                  <w:r w:rsidRPr="0045530E">
                    <w:rPr>
                      <w:rFonts w:ascii="Arial" w:eastAsia="Times New Roman" w:hAnsi="Arial" w:cs="Arial"/>
                      <w:color w:val="000000"/>
                      <w:sz w:val="21"/>
                      <w:szCs w:val="21"/>
                      <w:lang w:eastAsia="tr-TR"/>
                    </w:rPr>
                    <w:t> (UNII: 6DC9Q167V3)</w:t>
                  </w:r>
                </w:p>
              </w:tc>
              <w:tc>
                <w:tcPr>
                  <w:tcW w:w="6" w:type="dxa"/>
                  <w:tcBorders>
                    <w:top w:val="single" w:sz="6" w:space="0" w:color="000000"/>
                    <w:left w:val="nil"/>
                    <w:bottom w:val="nil"/>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Arial" w:eastAsia="Times New Roman" w:hAnsi="Arial" w:cs="Arial"/>
                      <w:color w:val="000000"/>
                      <w:sz w:val="21"/>
                      <w:szCs w:val="21"/>
                      <w:lang w:eastAsia="tr-TR"/>
                    </w:rPr>
                  </w:pPr>
                  <w:r w:rsidRPr="0045530E">
                    <w:rPr>
                      <w:rFonts w:ascii="Arial" w:eastAsia="Times New Roman" w:hAnsi="Arial" w:cs="Arial"/>
                      <w:color w:val="000000"/>
                      <w:sz w:val="21"/>
                      <w:szCs w:val="21"/>
                      <w:lang w:eastAsia="tr-TR"/>
                    </w:rPr>
                    <w:t> </w:t>
                  </w:r>
                </w:p>
              </w:tc>
            </w:tr>
            <w:tr w:rsidR="0045530E" w:rsidRPr="0045530E">
              <w:tc>
                <w:tcPr>
                  <w:tcW w:w="6" w:type="dxa"/>
                  <w:tcBorders>
                    <w:top w:val="single" w:sz="6" w:space="0" w:color="000000"/>
                    <w:left w:val="nil"/>
                    <w:bottom w:val="nil"/>
                    <w:right w:val="single" w:sz="6" w:space="0" w:color="000000"/>
                  </w:tcBorders>
                  <w:shd w:val="clear" w:color="auto" w:fill="FFFFFF"/>
                  <w:tcMar>
                    <w:top w:w="90" w:type="dxa"/>
                    <w:left w:w="90" w:type="dxa"/>
                    <w:bottom w:w="90" w:type="dxa"/>
                    <w:right w:w="90" w:type="dxa"/>
                  </w:tcMar>
                  <w:hideMark/>
                </w:tcPr>
                <w:p w:rsidR="0045530E" w:rsidRPr="0045530E" w:rsidRDefault="0045530E" w:rsidP="0045530E">
                  <w:pPr>
                    <w:spacing w:after="0" w:line="240" w:lineRule="auto"/>
                    <w:rPr>
                      <w:rFonts w:ascii="Arial" w:eastAsia="Times New Roman" w:hAnsi="Arial" w:cs="Arial"/>
                      <w:color w:val="000000"/>
                      <w:sz w:val="21"/>
                      <w:szCs w:val="21"/>
                      <w:lang w:eastAsia="tr-TR"/>
                    </w:rPr>
                  </w:pPr>
                  <w:r w:rsidRPr="0045530E">
                    <w:rPr>
                      <w:rFonts w:ascii="Arial" w:eastAsia="Times New Roman" w:hAnsi="Arial" w:cs="Arial"/>
                      <w:color w:val="000000"/>
                      <w:sz w:val="21"/>
                      <w:szCs w:val="21"/>
                      <w:bdr w:val="none" w:sz="0" w:space="0" w:color="auto" w:frame="1"/>
                      <w:lang w:eastAsia="tr-TR"/>
                    </w:rPr>
                    <w:t>FERRIC OXIDE RED</w:t>
                  </w:r>
                  <w:r w:rsidRPr="0045530E">
                    <w:rPr>
                      <w:rFonts w:ascii="Arial" w:eastAsia="Times New Roman" w:hAnsi="Arial" w:cs="Arial"/>
                      <w:color w:val="000000"/>
                      <w:sz w:val="21"/>
                      <w:szCs w:val="21"/>
                      <w:lang w:eastAsia="tr-TR"/>
                    </w:rPr>
                    <w:t> (UNII: 1K09F3G675)</w:t>
                  </w:r>
                </w:p>
              </w:tc>
              <w:tc>
                <w:tcPr>
                  <w:tcW w:w="6" w:type="dxa"/>
                  <w:tcBorders>
                    <w:top w:val="single" w:sz="6" w:space="0" w:color="000000"/>
                    <w:left w:val="nil"/>
                    <w:bottom w:val="nil"/>
                    <w:right w:val="single" w:sz="6" w:space="0" w:color="000000"/>
                  </w:tcBorders>
                  <w:shd w:val="clear" w:color="auto" w:fill="FFFFFF"/>
                  <w:tcMar>
                    <w:top w:w="90" w:type="dxa"/>
                    <w:left w:w="90" w:type="dxa"/>
                    <w:bottom w:w="90" w:type="dxa"/>
                    <w:right w:w="90" w:type="dxa"/>
                  </w:tcMar>
                  <w:hideMark/>
                </w:tcPr>
                <w:p w:rsidR="0045530E" w:rsidRPr="0045530E" w:rsidRDefault="0045530E" w:rsidP="0045530E">
                  <w:pPr>
                    <w:spacing w:after="0" w:line="240" w:lineRule="auto"/>
                    <w:rPr>
                      <w:rFonts w:ascii="Arial" w:eastAsia="Times New Roman" w:hAnsi="Arial" w:cs="Arial"/>
                      <w:color w:val="000000"/>
                      <w:sz w:val="21"/>
                      <w:szCs w:val="21"/>
                      <w:lang w:eastAsia="tr-TR"/>
                    </w:rPr>
                  </w:pPr>
                  <w:r w:rsidRPr="0045530E">
                    <w:rPr>
                      <w:rFonts w:ascii="Arial" w:eastAsia="Times New Roman" w:hAnsi="Arial" w:cs="Arial"/>
                      <w:color w:val="000000"/>
                      <w:sz w:val="21"/>
                      <w:szCs w:val="21"/>
                      <w:lang w:eastAsia="tr-TR"/>
                    </w:rPr>
                    <w:t> </w:t>
                  </w:r>
                </w:p>
              </w:tc>
            </w:tr>
            <w:tr w:rsidR="0045530E" w:rsidRPr="0045530E">
              <w:tc>
                <w:tcPr>
                  <w:tcW w:w="6" w:type="dxa"/>
                  <w:tcBorders>
                    <w:top w:val="single" w:sz="6" w:space="0" w:color="000000"/>
                    <w:left w:val="nil"/>
                    <w:bottom w:val="nil"/>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Arial" w:eastAsia="Times New Roman" w:hAnsi="Arial" w:cs="Arial"/>
                      <w:color w:val="000000"/>
                      <w:sz w:val="21"/>
                      <w:szCs w:val="21"/>
                      <w:lang w:eastAsia="tr-TR"/>
                    </w:rPr>
                  </w:pPr>
                  <w:r w:rsidRPr="0045530E">
                    <w:rPr>
                      <w:rFonts w:ascii="Arial" w:eastAsia="Times New Roman" w:hAnsi="Arial" w:cs="Arial"/>
                      <w:color w:val="000000"/>
                      <w:sz w:val="21"/>
                      <w:szCs w:val="21"/>
                      <w:bdr w:val="none" w:sz="0" w:space="0" w:color="auto" w:frame="1"/>
                      <w:lang w:eastAsia="tr-TR"/>
                    </w:rPr>
                    <w:t>POVIDONE K30</w:t>
                  </w:r>
                  <w:r w:rsidRPr="0045530E">
                    <w:rPr>
                      <w:rFonts w:ascii="Arial" w:eastAsia="Times New Roman" w:hAnsi="Arial" w:cs="Arial"/>
                      <w:color w:val="000000"/>
                      <w:sz w:val="21"/>
                      <w:szCs w:val="21"/>
                      <w:lang w:eastAsia="tr-TR"/>
                    </w:rPr>
                    <w:t> (UNII: U725QWY32X)</w:t>
                  </w:r>
                </w:p>
              </w:tc>
              <w:tc>
                <w:tcPr>
                  <w:tcW w:w="6" w:type="dxa"/>
                  <w:tcBorders>
                    <w:top w:val="single" w:sz="6" w:space="0" w:color="000000"/>
                    <w:left w:val="nil"/>
                    <w:bottom w:val="nil"/>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Arial" w:eastAsia="Times New Roman" w:hAnsi="Arial" w:cs="Arial"/>
                      <w:color w:val="000000"/>
                      <w:sz w:val="21"/>
                      <w:szCs w:val="21"/>
                      <w:lang w:eastAsia="tr-TR"/>
                    </w:rPr>
                  </w:pPr>
                  <w:r w:rsidRPr="0045530E">
                    <w:rPr>
                      <w:rFonts w:ascii="Arial" w:eastAsia="Times New Roman" w:hAnsi="Arial" w:cs="Arial"/>
                      <w:color w:val="000000"/>
                      <w:sz w:val="21"/>
                      <w:szCs w:val="21"/>
                      <w:lang w:eastAsia="tr-TR"/>
                    </w:rPr>
                    <w:t> </w:t>
                  </w:r>
                </w:p>
              </w:tc>
            </w:tr>
          </w:tbl>
          <w:p w:rsidR="0045530E" w:rsidRPr="0045530E" w:rsidRDefault="0045530E" w:rsidP="0045530E">
            <w:pPr>
              <w:spacing w:after="0" w:line="240" w:lineRule="atLeast"/>
              <w:rPr>
                <w:rFonts w:ascii="Arial" w:eastAsia="Times New Roman" w:hAnsi="Arial" w:cs="Arial"/>
                <w:sz w:val="21"/>
                <w:szCs w:val="21"/>
                <w:lang w:eastAsia="tr-TR"/>
              </w:rPr>
            </w:pPr>
          </w:p>
        </w:tc>
      </w:tr>
      <w:tr w:rsidR="0045530E" w:rsidRPr="0045530E" w:rsidTr="0045530E">
        <w:trPr>
          <w:gridAfter w:val="1"/>
        </w:trPr>
        <w:tc>
          <w:tcPr>
            <w:tcW w:w="6" w:type="dxa"/>
            <w:gridSpan w:val="2"/>
            <w:tcBorders>
              <w:top w:val="nil"/>
              <w:left w:val="nil"/>
              <w:bottom w:val="nil"/>
              <w:right w:val="nil"/>
            </w:tcBorders>
            <w:tcMar>
              <w:top w:w="90" w:type="dxa"/>
              <w:left w:w="90" w:type="dxa"/>
              <w:bottom w:w="90" w:type="dxa"/>
              <w:right w:w="90" w:type="dxa"/>
            </w:tcMar>
            <w:hideMark/>
          </w:tcPr>
          <w:tbl>
            <w:tblPr>
              <w:tblW w:w="5000" w:type="pct"/>
              <w:tblCellMar>
                <w:left w:w="0" w:type="dxa"/>
                <w:right w:w="0" w:type="dxa"/>
              </w:tblCellMar>
              <w:tblLook w:val="04A0" w:firstRow="1" w:lastRow="0" w:firstColumn="1" w:lastColumn="0" w:noHBand="0" w:noVBand="1"/>
            </w:tblPr>
            <w:tblGrid>
              <w:gridCol w:w="2022"/>
              <w:gridCol w:w="2001"/>
              <w:gridCol w:w="1648"/>
              <w:gridCol w:w="1532"/>
            </w:tblGrid>
            <w:tr w:rsidR="0045530E" w:rsidRPr="0045530E">
              <w:tc>
                <w:tcPr>
                  <w:tcW w:w="6" w:type="dxa"/>
                  <w:gridSpan w:val="4"/>
                  <w:tcBorders>
                    <w:top w:val="single" w:sz="6" w:space="0" w:color="000000"/>
                    <w:left w:val="single" w:sz="6" w:space="0" w:color="000000"/>
                    <w:bottom w:val="single" w:sz="6" w:space="0" w:color="000000"/>
                    <w:right w:val="single" w:sz="6" w:space="0" w:color="000000"/>
                  </w:tcBorders>
                  <w:shd w:val="clear" w:color="auto" w:fill="2B789F"/>
                  <w:tcMar>
                    <w:top w:w="120" w:type="dxa"/>
                    <w:left w:w="120" w:type="dxa"/>
                    <w:bottom w:w="120" w:type="dxa"/>
                    <w:right w:w="120" w:type="dxa"/>
                  </w:tcMar>
                  <w:hideMark/>
                </w:tcPr>
                <w:p w:rsidR="0045530E" w:rsidRPr="0045530E" w:rsidRDefault="0045530E" w:rsidP="0045530E">
                  <w:pPr>
                    <w:spacing w:after="0" w:line="240" w:lineRule="auto"/>
                    <w:rPr>
                      <w:rFonts w:ascii="Arial" w:eastAsia="Times New Roman" w:hAnsi="Arial" w:cs="Arial"/>
                      <w:caps/>
                      <w:color w:val="FFFFFF"/>
                      <w:sz w:val="21"/>
                      <w:szCs w:val="21"/>
                      <w:lang w:eastAsia="tr-TR"/>
                    </w:rPr>
                  </w:pPr>
                  <w:r w:rsidRPr="0045530E">
                    <w:rPr>
                      <w:rFonts w:ascii="Arial" w:eastAsia="Times New Roman" w:hAnsi="Arial" w:cs="Arial"/>
                      <w:caps/>
                      <w:color w:val="FFFFFF"/>
                      <w:sz w:val="21"/>
                      <w:szCs w:val="21"/>
                      <w:lang w:eastAsia="tr-TR"/>
                    </w:rPr>
                    <w:t>PRODUCT CHARACTERISTICS</w:t>
                  </w:r>
                </w:p>
              </w:tc>
            </w:tr>
            <w:tr w:rsidR="0045530E" w:rsidRPr="0045530E">
              <w:tc>
                <w:tcPr>
                  <w:tcW w:w="6" w:type="dxa"/>
                  <w:tcBorders>
                    <w:top w:val="single" w:sz="6" w:space="0" w:color="000000"/>
                    <w:left w:val="nil"/>
                    <w:bottom w:val="nil"/>
                    <w:right w:val="single" w:sz="6" w:space="0" w:color="auto"/>
                  </w:tcBorders>
                  <w:shd w:val="clear" w:color="auto" w:fill="FFCD6F"/>
                  <w:tcMar>
                    <w:top w:w="90" w:type="dxa"/>
                    <w:left w:w="90" w:type="dxa"/>
                    <w:bottom w:w="90" w:type="dxa"/>
                    <w:right w:w="90" w:type="dxa"/>
                  </w:tcMar>
                  <w:hideMark/>
                </w:tcPr>
                <w:p w:rsidR="0045530E" w:rsidRPr="0045530E" w:rsidRDefault="0045530E" w:rsidP="0045530E">
                  <w:pPr>
                    <w:spacing w:after="0" w:line="240" w:lineRule="auto"/>
                    <w:rPr>
                      <w:rFonts w:ascii="Arial" w:eastAsia="Times New Roman" w:hAnsi="Arial" w:cs="Arial"/>
                      <w:color w:val="000000"/>
                      <w:sz w:val="21"/>
                      <w:szCs w:val="21"/>
                      <w:lang w:eastAsia="tr-TR"/>
                    </w:rPr>
                  </w:pPr>
                  <w:r w:rsidRPr="0045530E">
                    <w:rPr>
                      <w:rFonts w:ascii="Arial" w:eastAsia="Times New Roman" w:hAnsi="Arial" w:cs="Arial"/>
                      <w:color w:val="000000"/>
                      <w:sz w:val="21"/>
                      <w:szCs w:val="21"/>
                      <w:lang w:eastAsia="tr-TR"/>
                    </w:rPr>
                    <w:t>Color</w:t>
                  </w:r>
                </w:p>
              </w:tc>
              <w:tc>
                <w:tcPr>
                  <w:tcW w:w="6" w:type="dxa"/>
                  <w:tcBorders>
                    <w:top w:val="single" w:sz="6" w:space="0" w:color="000000"/>
                    <w:left w:val="nil"/>
                    <w:bottom w:val="nil"/>
                    <w:right w:val="single" w:sz="6" w:space="0" w:color="000000"/>
                  </w:tcBorders>
                  <w:shd w:val="clear" w:color="auto" w:fill="FFFFFF"/>
                  <w:tcMar>
                    <w:top w:w="90" w:type="dxa"/>
                    <w:left w:w="90" w:type="dxa"/>
                    <w:bottom w:w="90" w:type="dxa"/>
                    <w:right w:w="90" w:type="dxa"/>
                  </w:tcMar>
                  <w:hideMark/>
                </w:tcPr>
                <w:p w:rsidR="0045530E" w:rsidRPr="0045530E" w:rsidRDefault="0045530E" w:rsidP="0045530E">
                  <w:pPr>
                    <w:spacing w:after="0" w:line="240" w:lineRule="auto"/>
                    <w:rPr>
                      <w:rFonts w:ascii="Arial" w:eastAsia="Times New Roman" w:hAnsi="Arial" w:cs="Arial"/>
                      <w:color w:val="000000"/>
                      <w:sz w:val="21"/>
                      <w:szCs w:val="21"/>
                      <w:lang w:eastAsia="tr-TR"/>
                    </w:rPr>
                  </w:pPr>
                  <w:r w:rsidRPr="0045530E">
                    <w:rPr>
                      <w:rFonts w:ascii="Arial" w:eastAsia="Times New Roman" w:hAnsi="Arial" w:cs="Arial"/>
                      <w:color w:val="000000"/>
                      <w:sz w:val="21"/>
                      <w:szCs w:val="21"/>
                      <w:lang w:eastAsia="tr-TR"/>
                    </w:rPr>
                    <w:t>white (Opaque white)</w:t>
                  </w:r>
                </w:p>
              </w:tc>
              <w:tc>
                <w:tcPr>
                  <w:tcW w:w="6" w:type="dxa"/>
                  <w:tcBorders>
                    <w:top w:val="single" w:sz="6" w:space="0" w:color="000000"/>
                    <w:left w:val="nil"/>
                    <w:bottom w:val="nil"/>
                    <w:right w:val="single" w:sz="6" w:space="0" w:color="auto"/>
                  </w:tcBorders>
                  <w:shd w:val="clear" w:color="auto" w:fill="FFCD6F"/>
                  <w:tcMar>
                    <w:top w:w="90" w:type="dxa"/>
                    <w:left w:w="90" w:type="dxa"/>
                    <w:bottom w:w="90" w:type="dxa"/>
                    <w:right w:w="90" w:type="dxa"/>
                  </w:tcMar>
                  <w:hideMark/>
                </w:tcPr>
                <w:p w:rsidR="0045530E" w:rsidRPr="0045530E" w:rsidRDefault="0045530E" w:rsidP="0045530E">
                  <w:pPr>
                    <w:spacing w:after="0" w:line="240" w:lineRule="auto"/>
                    <w:rPr>
                      <w:rFonts w:ascii="Arial" w:eastAsia="Times New Roman" w:hAnsi="Arial" w:cs="Arial"/>
                      <w:color w:val="000000"/>
                      <w:sz w:val="21"/>
                      <w:szCs w:val="21"/>
                      <w:lang w:eastAsia="tr-TR"/>
                    </w:rPr>
                  </w:pPr>
                  <w:r w:rsidRPr="0045530E">
                    <w:rPr>
                      <w:rFonts w:ascii="Arial" w:eastAsia="Times New Roman" w:hAnsi="Arial" w:cs="Arial"/>
                      <w:color w:val="000000"/>
                      <w:sz w:val="21"/>
                      <w:szCs w:val="21"/>
                      <w:lang w:eastAsia="tr-TR"/>
                    </w:rPr>
                    <w:t>Score</w:t>
                  </w:r>
                </w:p>
              </w:tc>
              <w:tc>
                <w:tcPr>
                  <w:tcW w:w="6" w:type="dxa"/>
                  <w:tcBorders>
                    <w:top w:val="single" w:sz="6" w:space="0" w:color="000000"/>
                    <w:left w:val="nil"/>
                    <w:bottom w:val="nil"/>
                    <w:right w:val="single" w:sz="6" w:space="0" w:color="000000"/>
                  </w:tcBorders>
                  <w:shd w:val="clear" w:color="auto" w:fill="FFFFFF"/>
                  <w:tcMar>
                    <w:top w:w="90" w:type="dxa"/>
                    <w:left w:w="90" w:type="dxa"/>
                    <w:bottom w:w="90" w:type="dxa"/>
                    <w:right w:w="90" w:type="dxa"/>
                  </w:tcMar>
                  <w:hideMark/>
                </w:tcPr>
                <w:p w:rsidR="0045530E" w:rsidRPr="0045530E" w:rsidRDefault="0045530E" w:rsidP="0045530E">
                  <w:pPr>
                    <w:spacing w:after="0" w:line="240" w:lineRule="auto"/>
                    <w:rPr>
                      <w:rFonts w:ascii="Arial" w:eastAsia="Times New Roman" w:hAnsi="Arial" w:cs="Arial"/>
                      <w:color w:val="000000"/>
                      <w:sz w:val="21"/>
                      <w:szCs w:val="21"/>
                      <w:lang w:eastAsia="tr-TR"/>
                    </w:rPr>
                  </w:pPr>
                  <w:proofErr w:type="gramStart"/>
                  <w:r w:rsidRPr="0045530E">
                    <w:rPr>
                      <w:rFonts w:ascii="Arial" w:eastAsia="Times New Roman" w:hAnsi="Arial" w:cs="Arial"/>
                      <w:color w:val="000000"/>
                      <w:sz w:val="21"/>
                      <w:szCs w:val="21"/>
                      <w:lang w:eastAsia="tr-TR"/>
                    </w:rPr>
                    <w:t>no</w:t>
                  </w:r>
                  <w:proofErr w:type="gramEnd"/>
                  <w:r w:rsidRPr="0045530E">
                    <w:rPr>
                      <w:rFonts w:ascii="Arial" w:eastAsia="Times New Roman" w:hAnsi="Arial" w:cs="Arial"/>
                      <w:color w:val="000000"/>
                      <w:sz w:val="21"/>
                      <w:szCs w:val="21"/>
                      <w:lang w:eastAsia="tr-TR"/>
                    </w:rPr>
                    <w:t xml:space="preserve"> score</w:t>
                  </w:r>
                </w:p>
              </w:tc>
            </w:tr>
            <w:tr w:rsidR="0045530E" w:rsidRPr="0045530E">
              <w:tc>
                <w:tcPr>
                  <w:tcW w:w="6" w:type="dxa"/>
                  <w:tcBorders>
                    <w:top w:val="single" w:sz="6" w:space="0" w:color="000000"/>
                    <w:left w:val="nil"/>
                    <w:bottom w:val="nil"/>
                    <w:right w:val="single" w:sz="6" w:space="0" w:color="auto"/>
                  </w:tcBorders>
                  <w:shd w:val="clear" w:color="auto" w:fill="FFCD6F"/>
                  <w:tcMar>
                    <w:top w:w="90" w:type="dxa"/>
                    <w:left w:w="90" w:type="dxa"/>
                    <w:bottom w:w="90" w:type="dxa"/>
                    <w:right w:w="90" w:type="dxa"/>
                  </w:tcMar>
                  <w:hideMark/>
                </w:tcPr>
                <w:p w:rsidR="0045530E" w:rsidRPr="0045530E" w:rsidRDefault="0045530E" w:rsidP="0045530E">
                  <w:pPr>
                    <w:spacing w:after="0" w:line="240" w:lineRule="auto"/>
                    <w:rPr>
                      <w:rFonts w:ascii="Arial" w:eastAsia="Times New Roman" w:hAnsi="Arial" w:cs="Arial"/>
                      <w:color w:val="000000"/>
                      <w:sz w:val="21"/>
                      <w:szCs w:val="21"/>
                      <w:lang w:eastAsia="tr-TR"/>
                    </w:rPr>
                  </w:pPr>
                  <w:r w:rsidRPr="0045530E">
                    <w:rPr>
                      <w:rFonts w:ascii="Arial" w:eastAsia="Times New Roman" w:hAnsi="Arial" w:cs="Arial"/>
                      <w:color w:val="000000"/>
                      <w:sz w:val="21"/>
                      <w:szCs w:val="21"/>
                      <w:lang w:eastAsia="tr-TR"/>
                    </w:rPr>
                    <w:t>Shape</w:t>
                  </w:r>
                </w:p>
              </w:tc>
              <w:tc>
                <w:tcPr>
                  <w:tcW w:w="6" w:type="dxa"/>
                  <w:tcBorders>
                    <w:top w:val="single" w:sz="6" w:space="0" w:color="000000"/>
                    <w:left w:val="nil"/>
                    <w:bottom w:val="nil"/>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Arial" w:eastAsia="Times New Roman" w:hAnsi="Arial" w:cs="Arial"/>
                      <w:color w:val="000000"/>
                      <w:sz w:val="21"/>
                      <w:szCs w:val="21"/>
                      <w:lang w:eastAsia="tr-TR"/>
                    </w:rPr>
                  </w:pPr>
                  <w:r w:rsidRPr="0045530E">
                    <w:rPr>
                      <w:rFonts w:ascii="Arial" w:eastAsia="Times New Roman" w:hAnsi="Arial" w:cs="Arial"/>
                      <w:color w:val="000000"/>
                      <w:sz w:val="21"/>
                      <w:szCs w:val="21"/>
                      <w:lang w:eastAsia="tr-TR"/>
                    </w:rPr>
                    <w:t>capsule</w:t>
                  </w:r>
                </w:p>
              </w:tc>
              <w:tc>
                <w:tcPr>
                  <w:tcW w:w="6" w:type="dxa"/>
                  <w:tcBorders>
                    <w:top w:val="single" w:sz="6" w:space="0" w:color="000000"/>
                    <w:left w:val="nil"/>
                    <w:bottom w:val="nil"/>
                    <w:right w:val="single" w:sz="6" w:space="0" w:color="auto"/>
                  </w:tcBorders>
                  <w:shd w:val="clear" w:color="auto" w:fill="FFCD6F"/>
                  <w:tcMar>
                    <w:top w:w="90" w:type="dxa"/>
                    <w:left w:w="90" w:type="dxa"/>
                    <w:bottom w:w="90" w:type="dxa"/>
                    <w:right w:w="90" w:type="dxa"/>
                  </w:tcMar>
                  <w:hideMark/>
                </w:tcPr>
                <w:p w:rsidR="0045530E" w:rsidRPr="0045530E" w:rsidRDefault="0045530E" w:rsidP="0045530E">
                  <w:pPr>
                    <w:spacing w:after="0" w:line="240" w:lineRule="auto"/>
                    <w:rPr>
                      <w:rFonts w:ascii="Arial" w:eastAsia="Times New Roman" w:hAnsi="Arial" w:cs="Arial"/>
                      <w:color w:val="000000"/>
                      <w:sz w:val="21"/>
                      <w:szCs w:val="21"/>
                      <w:lang w:eastAsia="tr-TR"/>
                    </w:rPr>
                  </w:pPr>
                  <w:r w:rsidRPr="0045530E">
                    <w:rPr>
                      <w:rFonts w:ascii="Arial" w:eastAsia="Times New Roman" w:hAnsi="Arial" w:cs="Arial"/>
                      <w:color w:val="000000"/>
                      <w:sz w:val="21"/>
                      <w:szCs w:val="21"/>
                      <w:lang w:eastAsia="tr-TR"/>
                    </w:rPr>
                    <w:t>Size</w:t>
                  </w:r>
                </w:p>
              </w:tc>
              <w:tc>
                <w:tcPr>
                  <w:tcW w:w="6" w:type="dxa"/>
                  <w:tcBorders>
                    <w:top w:val="single" w:sz="6" w:space="0" w:color="000000"/>
                    <w:left w:val="nil"/>
                    <w:bottom w:val="nil"/>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Arial" w:eastAsia="Times New Roman" w:hAnsi="Arial" w:cs="Arial"/>
                      <w:color w:val="000000"/>
                      <w:sz w:val="21"/>
                      <w:szCs w:val="21"/>
                      <w:lang w:eastAsia="tr-TR"/>
                    </w:rPr>
                  </w:pPr>
                  <w:r w:rsidRPr="0045530E">
                    <w:rPr>
                      <w:rFonts w:ascii="Arial" w:eastAsia="Times New Roman" w:hAnsi="Arial" w:cs="Arial"/>
                      <w:color w:val="000000"/>
                      <w:sz w:val="21"/>
                      <w:szCs w:val="21"/>
                      <w:lang w:eastAsia="tr-TR"/>
                    </w:rPr>
                    <w:t>23mm</w:t>
                  </w:r>
                </w:p>
              </w:tc>
            </w:tr>
            <w:tr w:rsidR="0045530E" w:rsidRPr="0045530E">
              <w:tc>
                <w:tcPr>
                  <w:tcW w:w="6" w:type="dxa"/>
                  <w:tcBorders>
                    <w:top w:val="single" w:sz="6" w:space="0" w:color="000000"/>
                    <w:left w:val="nil"/>
                    <w:bottom w:val="nil"/>
                    <w:right w:val="single" w:sz="6" w:space="0" w:color="auto"/>
                  </w:tcBorders>
                  <w:shd w:val="clear" w:color="auto" w:fill="FFCD6F"/>
                  <w:tcMar>
                    <w:top w:w="90" w:type="dxa"/>
                    <w:left w:w="90" w:type="dxa"/>
                    <w:bottom w:w="90" w:type="dxa"/>
                    <w:right w:w="90" w:type="dxa"/>
                  </w:tcMar>
                  <w:hideMark/>
                </w:tcPr>
                <w:p w:rsidR="0045530E" w:rsidRPr="0045530E" w:rsidRDefault="0045530E" w:rsidP="0045530E">
                  <w:pPr>
                    <w:spacing w:after="0" w:line="240" w:lineRule="auto"/>
                    <w:rPr>
                      <w:rFonts w:ascii="Arial" w:eastAsia="Times New Roman" w:hAnsi="Arial" w:cs="Arial"/>
                      <w:color w:val="000000"/>
                      <w:sz w:val="21"/>
                      <w:szCs w:val="21"/>
                      <w:lang w:eastAsia="tr-TR"/>
                    </w:rPr>
                  </w:pPr>
                  <w:r w:rsidRPr="0045530E">
                    <w:rPr>
                      <w:rFonts w:ascii="Arial" w:eastAsia="Times New Roman" w:hAnsi="Arial" w:cs="Arial"/>
                      <w:color w:val="000000"/>
                      <w:sz w:val="21"/>
                      <w:szCs w:val="21"/>
                      <w:lang w:eastAsia="tr-TR"/>
                    </w:rPr>
                    <w:t>Flavor</w:t>
                  </w:r>
                </w:p>
              </w:tc>
              <w:tc>
                <w:tcPr>
                  <w:tcW w:w="6" w:type="dxa"/>
                  <w:tcBorders>
                    <w:top w:val="single" w:sz="6" w:space="0" w:color="000000"/>
                    <w:left w:val="nil"/>
                    <w:bottom w:val="nil"/>
                    <w:right w:val="single" w:sz="6" w:space="0" w:color="000000"/>
                  </w:tcBorders>
                  <w:shd w:val="clear" w:color="auto" w:fill="FFFFFF"/>
                  <w:tcMar>
                    <w:top w:w="90" w:type="dxa"/>
                    <w:left w:w="90" w:type="dxa"/>
                    <w:bottom w:w="90" w:type="dxa"/>
                    <w:right w:w="90" w:type="dxa"/>
                  </w:tcMar>
                  <w:hideMark/>
                </w:tcPr>
                <w:p w:rsidR="0045530E" w:rsidRPr="0045530E" w:rsidRDefault="0045530E" w:rsidP="0045530E">
                  <w:pPr>
                    <w:spacing w:after="0" w:line="240" w:lineRule="auto"/>
                    <w:rPr>
                      <w:rFonts w:ascii="Arial" w:eastAsia="Times New Roman" w:hAnsi="Arial" w:cs="Arial"/>
                      <w:color w:val="000000"/>
                      <w:sz w:val="21"/>
                      <w:szCs w:val="21"/>
                      <w:lang w:eastAsia="tr-TR"/>
                    </w:rPr>
                  </w:pPr>
                </w:p>
              </w:tc>
              <w:tc>
                <w:tcPr>
                  <w:tcW w:w="6" w:type="dxa"/>
                  <w:tcBorders>
                    <w:top w:val="single" w:sz="6" w:space="0" w:color="000000"/>
                    <w:left w:val="nil"/>
                    <w:bottom w:val="nil"/>
                    <w:right w:val="single" w:sz="6" w:space="0" w:color="auto"/>
                  </w:tcBorders>
                  <w:shd w:val="clear" w:color="auto" w:fill="FFCD6F"/>
                  <w:tcMar>
                    <w:top w:w="90" w:type="dxa"/>
                    <w:left w:w="90" w:type="dxa"/>
                    <w:bottom w:w="90" w:type="dxa"/>
                    <w:right w:w="90" w:type="dxa"/>
                  </w:tcMar>
                  <w:hideMark/>
                </w:tcPr>
                <w:p w:rsidR="0045530E" w:rsidRPr="0045530E" w:rsidRDefault="0045530E" w:rsidP="0045530E">
                  <w:pPr>
                    <w:spacing w:after="0" w:line="240" w:lineRule="auto"/>
                    <w:rPr>
                      <w:rFonts w:ascii="Arial" w:eastAsia="Times New Roman" w:hAnsi="Arial" w:cs="Arial"/>
                      <w:color w:val="000000"/>
                      <w:sz w:val="21"/>
                      <w:szCs w:val="21"/>
                      <w:lang w:eastAsia="tr-TR"/>
                    </w:rPr>
                  </w:pPr>
                  <w:r w:rsidRPr="0045530E">
                    <w:rPr>
                      <w:rFonts w:ascii="Arial" w:eastAsia="Times New Roman" w:hAnsi="Arial" w:cs="Arial"/>
                      <w:color w:val="000000"/>
                      <w:sz w:val="21"/>
                      <w:szCs w:val="21"/>
                      <w:lang w:eastAsia="tr-TR"/>
                    </w:rPr>
                    <w:t>Imprint Code</w:t>
                  </w:r>
                </w:p>
              </w:tc>
              <w:tc>
                <w:tcPr>
                  <w:tcW w:w="6" w:type="dxa"/>
                  <w:tcBorders>
                    <w:top w:val="single" w:sz="6" w:space="0" w:color="000000"/>
                    <w:left w:val="nil"/>
                    <w:bottom w:val="nil"/>
                    <w:right w:val="single" w:sz="6" w:space="0" w:color="000000"/>
                  </w:tcBorders>
                  <w:shd w:val="clear" w:color="auto" w:fill="FFFFFF"/>
                  <w:tcMar>
                    <w:top w:w="90" w:type="dxa"/>
                    <w:left w:w="90" w:type="dxa"/>
                    <w:bottom w:w="90" w:type="dxa"/>
                    <w:right w:w="90" w:type="dxa"/>
                  </w:tcMar>
                  <w:hideMark/>
                </w:tcPr>
                <w:p w:rsidR="0045530E" w:rsidRPr="0045530E" w:rsidRDefault="0045530E" w:rsidP="0045530E">
                  <w:pPr>
                    <w:spacing w:after="0" w:line="240" w:lineRule="auto"/>
                    <w:rPr>
                      <w:rFonts w:ascii="Arial" w:eastAsia="Times New Roman" w:hAnsi="Arial" w:cs="Arial"/>
                      <w:color w:val="000000"/>
                      <w:sz w:val="21"/>
                      <w:szCs w:val="21"/>
                      <w:lang w:eastAsia="tr-TR"/>
                    </w:rPr>
                  </w:pPr>
                  <w:r w:rsidRPr="0045530E">
                    <w:rPr>
                      <w:rFonts w:ascii="Arial" w:eastAsia="Times New Roman" w:hAnsi="Arial" w:cs="Arial"/>
                      <w:color w:val="000000"/>
                      <w:sz w:val="21"/>
                      <w:szCs w:val="21"/>
                      <w:lang w:eastAsia="tr-TR"/>
                    </w:rPr>
                    <w:t>A;137</w:t>
                  </w:r>
                </w:p>
              </w:tc>
            </w:tr>
            <w:tr w:rsidR="0045530E" w:rsidRPr="0045530E">
              <w:tc>
                <w:tcPr>
                  <w:tcW w:w="6" w:type="dxa"/>
                  <w:tcBorders>
                    <w:top w:val="single" w:sz="6" w:space="0" w:color="000000"/>
                    <w:left w:val="nil"/>
                    <w:bottom w:val="nil"/>
                    <w:right w:val="single" w:sz="6" w:space="0" w:color="auto"/>
                  </w:tcBorders>
                  <w:shd w:val="clear" w:color="auto" w:fill="FFCD6F"/>
                  <w:tcMar>
                    <w:top w:w="90" w:type="dxa"/>
                    <w:left w:w="90" w:type="dxa"/>
                    <w:bottom w:w="90" w:type="dxa"/>
                    <w:right w:w="90" w:type="dxa"/>
                  </w:tcMar>
                  <w:hideMark/>
                </w:tcPr>
                <w:p w:rsidR="0045530E" w:rsidRPr="0045530E" w:rsidRDefault="0045530E" w:rsidP="0045530E">
                  <w:pPr>
                    <w:spacing w:after="0" w:line="240" w:lineRule="auto"/>
                    <w:rPr>
                      <w:rFonts w:ascii="Arial" w:eastAsia="Times New Roman" w:hAnsi="Arial" w:cs="Arial"/>
                      <w:color w:val="000000"/>
                      <w:sz w:val="21"/>
                      <w:szCs w:val="21"/>
                      <w:lang w:eastAsia="tr-TR"/>
                    </w:rPr>
                  </w:pPr>
                  <w:r w:rsidRPr="0045530E">
                    <w:rPr>
                      <w:rFonts w:ascii="Arial" w:eastAsia="Times New Roman" w:hAnsi="Arial" w:cs="Arial"/>
                      <w:color w:val="000000"/>
                      <w:sz w:val="21"/>
                      <w:szCs w:val="21"/>
                      <w:lang w:eastAsia="tr-TR"/>
                    </w:rPr>
                    <w:t>Contains</w:t>
                  </w:r>
                </w:p>
              </w:tc>
              <w:tc>
                <w:tcPr>
                  <w:tcW w:w="6" w:type="dxa"/>
                  <w:tcBorders>
                    <w:top w:val="single" w:sz="6" w:space="0" w:color="000000"/>
                    <w:left w:val="nil"/>
                    <w:bottom w:val="nil"/>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Arial" w:eastAsia="Times New Roman" w:hAnsi="Arial" w:cs="Arial"/>
                      <w:color w:val="000000"/>
                      <w:sz w:val="21"/>
                      <w:szCs w:val="21"/>
                      <w:lang w:eastAsia="tr-TR"/>
                    </w:rPr>
                  </w:pPr>
                  <w:r w:rsidRPr="0045530E">
                    <w:rPr>
                      <w:rFonts w:ascii="Arial" w:eastAsia="Times New Roman" w:hAnsi="Arial" w:cs="Arial"/>
                      <w:color w:val="000000"/>
                      <w:sz w:val="21"/>
                      <w:szCs w:val="21"/>
                      <w:lang w:eastAsia="tr-TR"/>
                    </w:rPr>
                    <w:t>    </w:t>
                  </w:r>
                </w:p>
              </w:tc>
              <w:tc>
                <w:tcPr>
                  <w:tcW w:w="0" w:type="auto"/>
                  <w:vAlign w:val="bottom"/>
                  <w:hideMark/>
                </w:tcPr>
                <w:p w:rsidR="0045530E" w:rsidRPr="0045530E" w:rsidRDefault="0045530E" w:rsidP="0045530E">
                  <w:pPr>
                    <w:spacing w:after="0" w:line="240" w:lineRule="auto"/>
                    <w:rPr>
                      <w:rFonts w:ascii="Times New Roman" w:eastAsia="Times New Roman" w:hAnsi="Times New Roman" w:cs="Times New Roman"/>
                      <w:sz w:val="20"/>
                      <w:szCs w:val="20"/>
                      <w:lang w:eastAsia="tr-TR"/>
                    </w:rPr>
                  </w:pPr>
                </w:p>
              </w:tc>
              <w:tc>
                <w:tcPr>
                  <w:tcW w:w="0" w:type="auto"/>
                  <w:vAlign w:val="bottom"/>
                  <w:hideMark/>
                </w:tcPr>
                <w:p w:rsidR="0045530E" w:rsidRPr="0045530E" w:rsidRDefault="0045530E" w:rsidP="0045530E">
                  <w:pPr>
                    <w:spacing w:after="0" w:line="240" w:lineRule="auto"/>
                    <w:rPr>
                      <w:rFonts w:ascii="Times New Roman" w:eastAsia="Times New Roman" w:hAnsi="Times New Roman" w:cs="Times New Roman"/>
                      <w:sz w:val="20"/>
                      <w:szCs w:val="20"/>
                      <w:lang w:eastAsia="tr-TR"/>
                    </w:rPr>
                  </w:pPr>
                </w:p>
              </w:tc>
            </w:tr>
          </w:tbl>
          <w:p w:rsidR="0045530E" w:rsidRPr="0045530E" w:rsidRDefault="0045530E" w:rsidP="0045530E">
            <w:pPr>
              <w:spacing w:after="0" w:line="240" w:lineRule="atLeast"/>
              <w:rPr>
                <w:rFonts w:ascii="Arial" w:eastAsia="Times New Roman" w:hAnsi="Arial" w:cs="Arial"/>
                <w:sz w:val="21"/>
                <w:szCs w:val="21"/>
                <w:lang w:eastAsia="tr-TR"/>
              </w:rPr>
            </w:pPr>
          </w:p>
        </w:tc>
      </w:tr>
      <w:tr w:rsidR="0045530E" w:rsidRPr="0045530E" w:rsidTr="0045530E">
        <w:trPr>
          <w:gridAfter w:val="1"/>
        </w:trPr>
        <w:tc>
          <w:tcPr>
            <w:tcW w:w="6" w:type="dxa"/>
            <w:gridSpan w:val="2"/>
            <w:tcBorders>
              <w:top w:val="nil"/>
              <w:left w:val="nil"/>
              <w:bottom w:val="nil"/>
              <w:right w:val="nil"/>
            </w:tcBorders>
            <w:tcMar>
              <w:top w:w="90" w:type="dxa"/>
              <w:left w:w="90" w:type="dxa"/>
              <w:bottom w:w="90" w:type="dxa"/>
              <w:right w:w="90" w:type="dxa"/>
            </w:tcMar>
            <w:hideMark/>
          </w:tcPr>
          <w:tbl>
            <w:tblPr>
              <w:tblW w:w="5000" w:type="pct"/>
              <w:tblCellMar>
                <w:left w:w="0" w:type="dxa"/>
                <w:right w:w="0" w:type="dxa"/>
              </w:tblCellMar>
              <w:tblLook w:val="04A0" w:firstRow="1" w:lastRow="0" w:firstColumn="1" w:lastColumn="0" w:noHBand="0" w:noVBand="1"/>
            </w:tblPr>
            <w:tblGrid>
              <w:gridCol w:w="401"/>
              <w:gridCol w:w="1819"/>
              <w:gridCol w:w="1833"/>
              <w:gridCol w:w="1662"/>
              <w:gridCol w:w="1488"/>
            </w:tblGrid>
            <w:tr w:rsidR="0045530E" w:rsidRPr="0045530E">
              <w:tc>
                <w:tcPr>
                  <w:tcW w:w="6" w:type="dxa"/>
                  <w:gridSpan w:val="5"/>
                  <w:tcBorders>
                    <w:top w:val="single" w:sz="6" w:space="0" w:color="000000"/>
                    <w:left w:val="single" w:sz="6" w:space="0" w:color="000000"/>
                    <w:bottom w:val="single" w:sz="6" w:space="0" w:color="000000"/>
                    <w:right w:val="single" w:sz="6" w:space="0" w:color="000000"/>
                  </w:tcBorders>
                  <w:shd w:val="clear" w:color="auto" w:fill="2B789F"/>
                  <w:tcMar>
                    <w:top w:w="120" w:type="dxa"/>
                    <w:left w:w="120" w:type="dxa"/>
                    <w:bottom w:w="120" w:type="dxa"/>
                    <w:right w:w="120" w:type="dxa"/>
                  </w:tcMar>
                  <w:hideMark/>
                </w:tcPr>
                <w:p w:rsidR="0045530E" w:rsidRPr="0045530E" w:rsidRDefault="0045530E" w:rsidP="0045530E">
                  <w:pPr>
                    <w:spacing w:after="0" w:line="240" w:lineRule="auto"/>
                    <w:rPr>
                      <w:rFonts w:ascii="Arial" w:eastAsia="Times New Roman" w:hAnsi="Arial" w:cs="Arial"/>
                      <w:caps/>
                      <w:color w:val="FFFFFF"/>
                      <w:sz w:val="21"/>
                      <w:szCs w:val="21"/>
                      <w:lang w:eastAsia="tr-TR"/>
                    </w:rPr>
                  </w:pPr>
                  <w:r w:rsidRPr="0045530E">
                    <w:rPr>
                      <w:rFonts w:ascii="Arial" w:eastAsia="Times New Roman" w:hAnsi="Arial" w:cs="Arial"/>
                      <w:caps/>
                      <w:color w:val="FFFFFF"/>
                      <w:sz w:val="21"/>
                      <w:szCs w:val="21"/>
                      <w:lang w:eastAsia="tr-TR"/>
                    </w:rPr>
                    <w:t>PACKAGING</w:t>
                  </w:r>
                </w:p>
              </w:tc>
            </w:tr>
            <w:tr w:rsidR="0045530E" w:rsidRPr="0045530E">
              <w:tc>
                <w:tcPr>
                  <w:tcW w:w="15" w:type="dxa"/>
                  <w:tcBorders>
                    <w:top w:val="single" w:sz="6" w:space="0" w:color="000000"/>
                    <w:left w:val="nil"/>
                    <w:bottom w:val="nil"/>
                    <w:right w:val="single" w:sz="6" w:space="0" w:color="auto"/>
                  </w:tcBorders>
                  <w:shd w:val="clear" w:color="auto" w:fill="FFCD6F"/>
                  <w:tcMar>
                    <w:top w:w="90" w:type="dxa"/>
                    <w:left w:w="90" w:type="dxa"/>
                    <w:bottom w:w="90" w:type="dxa"/>
                    <w:right w:w="90" w:type="dxa"/>
                  </w:tcMar>
                  <w:vAlign w:val="bottom"/>
                  <w:hideMark/>
                </w:tcPr>
                <w:p w:rsidR="0045530E" w:rsidRPr="0045530E" w:rsidRDefault="0045530E" w:rsidP="0045530E">
                  <w:pPr>
                    <w:spacing w:after="0" w:line="240" w:lineRule="auto"/>
                    <w:jc w:val="center"/>
                    <w:rPr>
                      <w:rFonts w:ascii="Arial" w:eastAsia="Times New Roman" w:hAnsi="Arial" w:cs="Arial"/>
                      <w:color w:val="000000"/>
                      <w:sz w:val="21"/>
                      <w:szCs w:val="21"/>
                      <w:lang w:eastAsia="tr-TR"/>
                    </w:rPr>
                  </w:pPr>
                  <w:r w:rsidRPr="0045530E">
                    <w:rPr>
                      <w:rFonts w:ascii="Arial" w:eastAsia="Times New Roman" w:hAnsi="Arial" w:cs="Arial"/>
                      <w:color w:val="000000"/>
                      <w:sz w:val="21"/>
                      <w:szCs w:val="21"/>
                      <w:lang w:eastAsia="tr-TR"/>
                    </w:rPr>
                    <w:t>#</w:t>
                  </w:r>
                </w:p>
              </w:tc>
              <w:tc>
                <w:tcPr>
                  <w:tcW w:w="0" w:type="auto"/>
                  <w:tcBorders>
                    <w:top w:val="single" w:sz="6" w:space="0" w:color="000000"/>
                    <w:left w:val="nil"/>
                    <w:bottom w:val="nil"/>
                    <w:right w:val="single" w:sz="6" w:space="0" w:color="auto"/>
                  </w:tcBorders>
                  <w:shd w:val="clear" w:color="auto" w:fill="FFCD6F"/>
                  <w:tcMar>
                    <w:top w:w="90" w:type="dxa"/>
                    <w:left w:w="90" w:type="dxa"/>
                    <w:bottom w:w="90" w:type="dxa"/>
                    <w:right w:w="90" w:type="dxa"/>
                  </w:tcMar>
                  <w:vAlign w:val="bottom"/>
                  <w:hideMark/>
                </w:tcPr>
                <w:p w:rsidR="0045530E" w:rsidRPr="0045530E" w:rsidRDefault="0045530E" w:rsidP="0045530E">
                  <w:pPr>
                    <w:spacing w:after="0" w:line="240" w:lineRule="auto"/>
                    <w:jc w:val="center"/>
                    <w:rPr>
                      <w:rFonts w:ascii="Arial" w:eastAsia="Times New Roman" w:hAnsi="Arial" w:cs="Arial"/>
                      <w:color w:val="000000"/>
                      <w:sz w:val="21"/>
                      <w:szCs w:val="21"/>
                      <w:lang w:eastAsia="tr-TR"/>
                    </w:rPr>
                  </w:pPr>
                  <w:r w:rsidRPr="0045530E">
                    <w:rPr>
                      <w:rFonts w:ascii="Arial" w:eastAsia="Times New Roman" w:hAnsi="Arial" w:cs="Arial"/>
                      <w:color w:val="000000"/>
                      <w:sz w:val="21"/>
                      <w:szCs w:val="21"/>
                      <w:lang w:eastAsia="tr-TR"/>
                    </w:rPr>
                    <w:t>Item Code</w:t>
                  </w:r>
                </w:p>
              </w:tc>
              <w:tc>
                <w:tcPr>
                  <w:tcW w:w="0" w:type="auto"/>
                  <w:tcBorders>
                    <w:top w:val="single" w:sz="6" w:space="0" w:color="000000"/>
                    <w:left w:val="nil"/>
                    <w:bottom w:val="nil"/>
                    <w:right w:val="single" w:sz="6" w:space="0" w:color="auto"/>
                  </w:tcBorders>
                  <w:shd w:val="clear" w:color="auto" w:fill="FFCD6F"/>
                  <w:tcMar>
                    <w:top w:w="90" w:type="dxa"/>
                    <w:left w:w="90" w:type="dxa"/>
                    <w:bottom w:w="90" w:type="dxa"/>
                    <w:right w:w="90" w:type="dxa"/>
                  </w:tcMar>
                  <w:vAlign w:val="bottom"/>
                  <w:hideMark/>
                </w:tcPr>
                <w:p w:rsidR="0045530E" w:rsidRPr="0045530E" w:rsidRDefault="0045530E" w:rsidP="0045530E">
                  <w:pPr>
                    <w:spacing w:after="0" w:line="240" w:lineRule="auto"/>
                    <w:jc w:val="center"/>
                    <w:rPr>
                      <w:rFonts w:ascii="Arial" w:eastAsia="Times New Roman" w:hAnsi="Arial" w:cs="Arial"/>
                      <w:color w:val="000000"/>
                      <w:sz w:val="21"/>
                      <w:szCs w:val="21"/>
                      <w:lang w:eastAsia="tr-TR"/>
                    </w:rPr>
                  </w:pPr>
                  <w:r w:rsidRPr="0045530E">
                    <w:rPr>
                      <w:rFonts w:ascii="Arial" w:eastAsia="Times New Roman" w:hAnsi="Arial" w:cs="Arial"/>
                      <w:color w:val="000000"/>
                      <w:sz w:val="21"/>
                      <w:szCs w:val="21"/>
                      <w:lang w:eastAsia="tr-TR"/>
                    </w:rPr>
                    <w:t>Package Description</w:t>
                  </w:r>
                </w:p>
              </w:tc>
              <w:tc>
                <w:tcPr>
                  <w:tcW w:w="0" w:type="auto"/>
                  <w:tcBorders>
                    <w:top w:val="single" w:sz="6" w:space="0" w:color="000000"/>
                    <w:left w:val="nil"/>
                    <w:bottom w:val="nil"/>
                    <w:right w:val="single" w:sz="6" w:space="0" w:color="auto"/>
                  </w:tcBorders>
                  <w:shd w:val="clear" w:color="auto" w:fill="FFCD6F"/>
                  <w:tcMar>
                    <w:top w:w="90" w:type="dxa"/>
                    <w:left w:w="90" w:type="dxa"/>
                    <w:bottom w:w="90" w:type="dxa"/>
                    <w:right w:w="90" w:type="dxa"/>
                  </w:tcMar>
                  <w:vAlign w:val="bottom"/>
                  <w:hideMark/>
                </w:tcPr>
                <w:p w:rsidR="0045530E" w:rsidRPr="0045530E" w:rsidRDefault="0045530E" w:rsidP="0045530E">
                  <w:pPr>
                    <w:spacing w:after="0" w:line="240" w:lineRule="auto"/>
                    <w:jc w:val="center"/>
                    <w:rPr>
                      <w:rFonts w:ascii="Arial" w:eastAsia="Times New Roman" w:hAnsi="Arial" w:cs="Arial"/>
                      <w:color w:val="000000"/>
                      <w:sz w:val="21"/>
                      <w:szCs w:val="21"/>
                      <w:lang w:eastAsia="tr-TR"/>
                    </w:rPr>
                  </w:pPr>
                  <w:r w:rsidRPr="0045530E">
                    <w:rPr>
                      <w:rFonts w:ascii="Arial" w:eastAsia="Times New Roman" w:hAnsi="Arial" w:cs="Arial"/>
                      <w:color w:val="000000"/>
                      <w:sz w:val="21"/>
                      <w:szCs w:val="21"/>
                      <w:lang w:eastAsia="tr-TR"/>
                    </w:rPr>
                    <w:t>Marketing Start Date</w:t>
                  </w:r>
                </w:p>
              </w:tc>
              <w:tc>
                <w:tcPr>
                  <w:tcW w:w="0" w:type="auto"/>
                  <w:tcBorders>
                    <w:top w:val="single" w:sz="6" w:space="0" w:color="000000"/>
                    <w:left w:val="nil"/>
                    <w:bottom w:val="nil"/>
                    <w:right w:val="single" w:sz="6" w:space="0" w:color="auto"/>
                  </w:tcBorders>
                  <w:shd w:val="clear" w:color="auto" w:fill="FFCD6F"/>
                  <w:tcMar>
                    <w:top w:w="90" w:type="dxa"/>
                    <w:left w:w="90" w:type="dxa"/>
                    <w:bottom w:w="90" w:type="dxa"/>
                    <w:right w:w="90" w:type="dxa"/>
                  </w:tcMar>
                  <w:vAlign w:val="bottom"/>
                  <w:hideMark/>
                </w:tcPr>
                <w:p w:rsidR="0045530E" w:rsidRPr="0045530E" w:rsidRDefault="0045530E" w:rsidP="0045530E">
                  <w:pPr>
                    <w:spacing w:after="0" w:line="240" w:lineRule="auto"/>
                    <w:jc w:val="center"/>
                    <w:rPr>
                      <w:rFonts w:ascii="Arial" w:eastAsia="Times New Roman" w:hAnsi="Arial" w:cs="Arial"/>
                      <w:color w:val="000000"/>
                      <w:sz w:val="21"/>
                      <w:szCs w:val="21"/>
                      <w:lang w:eastAsia="tr-TR"/>
                    </w:rPr>
                  </w:pPr>
                  <w:r w:rsidRPr="0045530E">
                    <w:rPr>
                      <w:rFonts w:ascii="Arial" w:eastAsia="Times New Roman" w:hAnsi="Arial" w:cs="Arial"/>
                      <w:color w:val="000000"/>
                      <w:sz w:val="21"/>
                      <w:szCs w:val="21"/>
                      <w:lang w:eastAsia="tr-TR"/>
                    </w:rPr>
                    <w:t>Marketing End Date</w:t>
                  </w:r>
                </w:p>
              </w:tc>
            </w:tr>
            <w:tr w:rsidR="0045530E" w:rsidRPr="0045530E">
              <w:tc>
                <w:tcPr>
                  <w:tcW w:w="0" w:type="auto"/>
                  <w:tcBorders>
                    <w:top w:val="single" w:sz="6" w:space="0" w:color="000000"/>
                    <w:left w:val="nil"/>
                    <w:bottom w:val="nil"/>
                    <w:right w:val="single" w:sz="6" w:space="0" w:color="auto"/>
                  </w:tcBorders>
                  <w:shd w:val="clear" w:color="auto" w:fill="FFCD6F"/>
                  <w:tcMar>
                    <w:top w:w="90" w:type="dxa"/>
                    <w:left w:w="90" w:type="dxa"/>
                    <w:bottom w:w="90" w:type="dxa"/>
                    <w:right w:w="90" w:type="dxa"/>
                  </w:tcMar>
                  <w:vAlign w:val="bottom"/>
                  <w:hideMark/>
                </w:tcPr>
                <w:p w:rsidR="0045530E" w:rsidRPr="0045530E" w:rsidRDefault="0045530E" w:rsidP="0045530E">
                  <w:pPr>
                    <w:spacing w:after="0" w:line="240" w:lineRule="auto"/>
                    <w:jc w:val="center"/>
                    <w:rPr>
                      <w:rFonts w:ascii="Arial" w:eastAsia="Times New Roman" w:hAnsi="Arial" w:cs="Arial"/>
                      <w:b/>
                      <w:bCs/>
                      <w:color w:val="000000"/>
                      <w:sz w:val="21"/>
                      <w:szCs w:val="21"/>
                      <w:lang w:eastAsia="tr-TR"/>
                    </w:rPr>
                  </w:pPr>
                  <w:r w:rsidRPr="0045530E">
                    <w:rPr>
                      <w:rFonts w:ascii="Arial" w:eastAsia="Times New Roman" w:hAnsi="Arial" w:cs="Arial"/>
                      <w:b/>
                      <w:bCs/>
                      <w:color w:val="000000"/>
                      <w:sz w:val="21"/>
                      <w:szCs w:val="21"/>
                      <w:lang w:eastAsia="tr-TR"/>
                    </w:rPr>
                    <w:t>1</w:t>
                  </w:r>
                </w:p>
              </w:tc>
              <w:tc>
                <w:tcPr>
                  <w:tcW w:w="6" w:type="dxa"/>
                  <w:tcBorders>
                    <w:top w:val="single" w:sz="6" w:space="0" w:color="000000"/>
                    <w:left w:val="nil"/>
                    <w:bottom w:val="nil"/>
                    <w:right w:val="single" w:sz="6" w:space="0" w:color="000000"/>
                  </w:tcBorders>
                  <w:shd w:val="clear" w:color="auto" w:fill="FFFFFF"/>
                  <w:tcMar>
                    <w:top w:w="90" w:type="dxa"/>
                    <w:left w:w="90" w:type="dxa"/>
                    <w:bottom w:w="90" w:type="dxa"/>
                    <w:right w:w="90" w:type="dxa"/>
                  </w:tcMar>
                  <w:hideMark/>
                </w:tcPr>
                <w:p w:rsidR="0045530E" w:rsidRPr="0045530E" w:rsidRDefault="0045530E" w:rsidP="0045530E">
                  <w:pPr>
                    <w:spacing w:after="0" w:line="240" w:lineRule="auto"/>
                    <w:rPr>
                      <w:rFonts w:ascii="Arial" w:eastAsia="Times New Roman" w:hAnsi="Arial" w:cs="Arial"/>
                      <w:color w:val="000000"/>
                      <w:sz w:val="21"/>
                      <w:szCs w:val="21"/>
                      <w:lang w:eastAsia="tr-TR"/>
                    </w:rPr>
                  </w:pPr>
                  <w:r w:rsidRPr="0045530E">
                    <w:rPr>
                      <w:rFonts w:ascii="Arial" w:eastAsia="Times New Roman" w:hAnsi="Arial" w:cs="Arial"/>
                      <w:color w:val="000000"/>
                      <w:sz w:val="21"/>
                      <w:szCs w:val="21"/>
                      <w:lang w:eastAsia="tr-TR"/>
                    </w:rPr>
                    <w:t>NDC:69399-185-81</w:t>
                  </w:r>
                </w:p>
              </w:tc>
              <w:tc>
                <w:tcPr>
                  <w:tcW w:w="6" w:type="dxa"/>
                  <w:tcBorders>
                    <w:top w:val="single" w:sz="6" w:space="0" w:color="000000"/>
                    <w:left w:val="nil"/>
                    <w:bottom w:val="nil"/>
                    <w:right w:val="single" w:sz="6" w:space="0" w:color="000000"/>
                  </w:tcBorders>
                  <w:shd w:val="clear" w:color="auto" w:fill="FFFFFF"/>
                  <w:tcMar>
                    <w:top w:w="90" w:type="dxa"/>
                    <w:left w:w="90" w:type="dxa"/>
                    <w:bottom w:w="90" w:type="dxa"/>
                    <w:right w:w="90" w:type="dxa"/>
                  </w:tcMar>
                  <w:hideMark/>
                </w:tcPr>
                <w:p w:rsidR="0045530E" w:rsidRPr="0045530E" w:rsidRDefault="0045530E" w:rsidP="0045530E">
                  <w:pPr>
                    <w:spacing w:after="0" w:line="240" w:lineRule="auto"/>
                    <w:rPr>
                      <w:rFonts w:ascii="Arial" w:eastAsia="Times New Roman" w:hAnsi="Arial" w:cs="Arial"/>
                      <w:color w:val="000000"/>
                      <w:sz w:val="21"/>
                      <w:szCs w:val="21"/>
                      <w:lang w:eastAsia="tr-TR"/>
                    </w:rPr>
                  </w:pPr>
                  <w:r w:rsidRPr="0045530E">
                    <w:rPr>
                      <w:rFonts w:ascii="Arial" w:eastAsia="Times New Roman" w:hAnsi="Arial" w:cs="Arial"/>
                      <w:color w:val="000000"/>
                      <w:sz w:val="21"/>
                      <w:szCs w:val="21"/>
                      <w:lang w:eastAsia="tr-TR"/>
                    </w:rPr>
                    <w:t>100 in 1 BOTTLE; Type 0: Not a Combination Product</w:t>
                  </w:r>
                </w:p>
              </w:tc>
              <w:tc>
                <w:tcPr>
                  <w:tcW w:w="6" w:type="dxa"/>
                  <w:tcBorders>
                    <w:top w:val="single" w:sz="6" w:space="0" w:color="000000"/>
                    <w:left w:val="nil"/>
                    <w:bottom w:val="nil"/>
                    <w:right w:val="single" w:sz="6" w:space="0" w:color="000000"/>
                  </w:tcBorders>
                  <w:shd w:val="clear" w:color="auto" w:fill="FFFFFF"/>
                  <w:tcMar>
                    <w:top w:w="90" w:type="dxa"/>
                    <w:left w:w="90" w:type="dxa"/>
                    <w:bottom w:w="90" w:type="dxa"/>
                    <w:right w:w="90" w:type="dxa"/>
                  </w:tcMar>
                  <w:hideMark/>
                </w:tcPr>
                <w:p w:rsidR="0045530E" w:rsidRPr="0045530E" w:rsidRDefault="0045530E" w:rsidP="0045530E">
                  <w:pPr>
                    <w:spacing w:after="0" w:line="240" w:lineRule="auto"/>
                    <w:rPr>
                      <w:rFonts w:ascii="Arial" w:eastAsia="Times New Roman" w:hAnsi="Arial" w:cs="Arial"/>
                      <w:color w:val="000000"/>
                      <w:sz w:val="21"/>
                      <w:szCs w:val="21"/>
                      <w:lang w:eastAsia="tr-TR"/>
                    </w:rPr>
                  </w:pPr>
                  <w:proofErr w:type="gramStart"/>
                  <w:r w:rsidRPr="0045530E">
                    <w:rPr>
                      <w:rFonts w:ascii="Arial" w:eastAsia="Times New Roman" w:hAnsi="Arial" w:cs="Arial"/>
                      <w:color w:val="000000"/>
                      <w:sz w:val="21"/>
                      <w:szCs w:val="21"/>
                      <w:lang w:eastAsia="tr-TR"/>
                    </w:rPr>
                    <w:t>11/24/2015</w:t>
                  </w:r>
                  <w:proofErr w:type="gramEnd"/>
                </w:p>
              </w:tc>
              <w:tc>
                <w:tcPr>
                  <w:tcW w:w="6" w:type="dxa"/>
                  <w:tcBorders>
                    <w:top w:val="single" w:sz="6" w:space="0" w:color="000000"/>
                    <w:left w:val="nil"/>
                    <w:bottom w:val="nil"/>
                    <w:right w:val="single" w:sz="6" w:space="0" w:color="000000"/>
                  </w:tcBorders>
                  <w:shd w:val="clear" w:color="auto" w:fill="FFFFFF"/>
                  <w:tcMar>
                    <w:top w:w="90" w:type="dxa"/>
                    <w:left w:w="90" w:type="dxa"/>
                    <w:bottom w:w="90" w:type="dxa"/>
                    <w:right w:w="90" w:type="dxa"/>
                  </w:tcMar>
                  <w:hideMark/>
                </w:tcPr>
                <w:p w:rsidR="0045530E" w:rsidRPr="0045530E" w:rsidRDefault="0045530E" w:rsidP="0045530E">
                  <w:pPr>
                    <w:spacing w:after="0" w:line="240" w:lineRule="auto"/>
                    <w:rPr>
                      <w:rFonts w:ascii="Arial" w:eastAsia="Times New Roman" w:hAnsi="Arial" w:cs="Arial"/>
                      <w:color w:val="000000"/>
                      <w:sz w:val="21"/>
                      <w:szCs w:val="21"/>
                      <w:lang w:eastAsia="tr-TR"/>
                    </w:rPr>
                  </w:pPr>
                </w:p>
              </w:tc>
            </w:tr>
          </w:tbl>
          <w:p w:rsidR="0045530E" w:rsidRPr="0045530E" w:rsidRDefault="0045530E" w:rsidP="0045530E">
            <w:pPr>
              <w:spacing w:after="0" w:line="240" w:lineRule="atLeast"/>
              <w:rPr>
                <w:rFonts w:ascii="Arial" w:eastAsia="Times New Roman" w:hAnsi="Arial" w:cs="Arial"/>
                <w:sz w:val="21"/>
                <w:szCs w:val="21"/>
                <w:lang w:eastAsia="tr-TR"/>
              </w:rPr>
            </w:pPr>
          </w:p>
        </w:tc>
      </w:tr>
      <w:tr w:rsidR="0045530E" w:rsidRPr="0045530E" w:rsidTr="0045530E">
        <w:trPr>
          <w:gridAfter w:val="1"/>
        </w:trPr>
        <w:tc>
          <w:tcPr>
            <w:tcW w:w="6" w:type="dxa"/>
            <w:gridSpan w:val="2"/>
            <w:tcBorders>
              <w:top w:val="nil"/>
              <w:left w:val="nil"/>
              <w:bottom w:val="nil"/>
              <w:right w:val="nil"/>
            </w:tcBorders>
            <w:tcMar>
              <w:top w:w="90" w:type="dxa"/>
              <w:left w:w="90" w:type="dxa"/>
              <w:bottom w:w="90" w:type="dxa"/>
              <w:right w:w="90" w:type="dxa"/>
            </w:tcMar>
            <w:hideMark/>
          </w:tcPr>
          <w:p w:rsidR="0045530E" w:rsidRPr="0045530E" w:rsidRDefault="0045530E" w:rsidP="0045530E">
            <w:pPr>
              <w:spacing w:after="0" w:line="240" w:lineRule="atLeast"/>
              <w:rPr>
                <w:rFonts w:ascii="Arial" w:eastAsia="Times New Roman" w:hAnsi="Arial" w:cs="Arial"/>
                <w:sz w:val="21"/>
                <w:szCs w:val="21"/>
                <w:lang w:eastAsia="tr-TR"/>
              </w:rPr>
            </w:pPr>
          </w:p>
        </w:tc>
      </w:tr>
      <w:tr w:rsidR="0045530E" w:rsidRPr="0045530E" w:rsidTr="0045530E">
        <w:trPr>
          <w:gridAfter w:val="1"/>
        </w:trPr>
        <w:tc>
          <w:tcPr>
            <w:tcW w:w="6" w:type="dxa"/>
            <w:gridSpan w:val="2"/>
            <w:tcBorders>
              <w:top w:val="nil"/>
              <w:left w:val="nil"/>
              <w:bottom w:val="nil"/>
              <w:right w:val="nil"/>
            </w:tcBorders>
            <w:tcMar>
              <w:top w:w="90" w:type="dxa"/>
              <w:left w:w="90" w:type="dxa"/>
              <w:bottom w:w="90" w:type="dxa"/>
              <w:right w:w="90" w:type="dxa"/>
            </w:tcMar>
            <w:hideMark/>
          </w:tcPr>
          <w:tbl>
            <w:tblPr>
              <w:tblW w:w="5000" w:type="pct"/>
              <w:tblCellMar>
                <w:left w:w="0" w:type="dxa"/>
                <w:right w:w="0" w:type="dxa"/>
              </w:tblCellMar>
              <w:tblLook w:val="04A0" w:firstRow="1" w:lastRow="0" w:firstColumn="1" w:lastColumn="0" w:noHBand="0" w:noVBand="1"/>
            </w:tblPr>
            <w:tblGrid>
              <w:gridCol w:w="1621"/>
              <w:gridCol w:w="2152"/>
              <w:gridCol w:w="1810"/>
              <w:gridCol w:w="1620"/>
            </w:tblGrid>
            <w:tr w:rsidR="0045530E" w:rsidRPr="0045530E">
              <w:tc>
                <w:tcPr>
                  <w:tcW w:w="6" w:type="dxa"/>
                  <w:gridSpan w:val="4"/>
                  <w:tcBorders>
                    <w:top w:val="single" w:sz="6" w:space="0" w:color="000000"/>
                    <w:left w:val="single" w:sz="6" w:space="0" w:color="000000"/>
                    <w:bottom w:val="single" w:sz="6" w:space="0" w:color="000000"/>
                    <w:right w:val="single" w:sz="6" w:space="0" w:color="000000"/>
                  </w:tcBorders>
                  <w:shd w:val="clear" w:color="auto" w:fill="2B789F"/>
                  <w:tcMar>
                    <w:top w:w="120" w:type="dxa"/>
                    <w:left w:w="120" w:type="dxa"/>
                    <w:bottom w:w="120" w:type="dxa"/>
                    <w:right w:w="120" w:type="dxa"/>
                  </w:tcMar>
                  <w:hideMark/>
                </w:tcPr>
                <w:p w:rsidR="0045530E" w:rsidRPr="0045530E" w:rsidRDefault="0045530E" w:rsidP="0045530E">
                  <w:pPr>
                    <w:spacing w:after="0" w:line="240" w:lineRule="auto"/>
                    <w:rPr>
                      <w:rFonts w:ascii="Arial" w:eastAsia="Times New Roman" w:hAnsi="Arial" w:cs="Arial"/>
                      <w:caps/>
                      <w:color w:val="FFFFFF"/>
                      <w:sz w:val="21"/>
                      <w:szCs w:val="21"/>
                      <w:lang w:eastAsia="tr-TR"/>
                    </w:rPr>
                  </w:pPr>
                  <w:r w:rsidRPr="0045530E">
                    <w:rPr>
                      <w:rFonts w:ascii="Arial" w:eastAsia="Times New Roman" w:hAnsi="Arial" w:cs="Arial"/>
                      <w:caps/>
                      <w:color w:val="FFFFFF"/>
                      <w:sz w:val="24"/>
                      <w:szCs w:val="24"/>
                      <w:bdr w:val="none" w:sz="0" w:space="0" w:color="auto" w:frame="1"/>
                      <w:shd w:val="clear" w:color="auto" w:fill="2B789F"/>
                      <w:lang w:eastAsia="tr-TR"/>
                    </w:rPr>
                    <w:t>MARKETING INFORMATION</w:t>
                  </w:r>
                </w:p>
              </w:tc>
            </w:tr>
            <w:tr w:rsidR="0045530E" w:rsidRPr="0045530E">
              <w:tc>
                <w:tcPr>
                  <w:tcW w:w="0" w:type="auto"/>
                  <w:tcBorders>
                    <w:top w:val="single" w:sz="6" w:space="0" w:color="000000"/>
                    <w:left w:val="nil"/>
                    <w:bottom w:val="nil"/>
                    <w:right w:val="single" w:sz="6" w:space="0" w:color="auto"/>
                  </w:tcBorders>
                  <w:shd w:val="clear" w:color="auto" w:fill="FFCD6F"/>
                  <w:tcMar>
                    <w:top w:w="90" w:type="dxa"/>
                    <w:left w:w="90" w:type="dxa"/>
                    <w:bottom w:w="90" w:type="dxa"/>
                    <w:right w:w="90" w:type="dxa"/>
                  </w:tcMar>
                  <w:vAlign w:val="bottom"/>
                  <w:hideMark/>
                </w:tcPr>
                <w:p w:rsidR="0045530E" w:rsidRPr="0045530E" w:rsidRDefault="0045530E" w:rsidP="0045530E">
                  <w:pPr>
                    <w:spacing w:after="0" w:line="240" w:lineRule="auto"/>
                    <w:jc w:val="center"/>
                    <w:rPr>
                      <w:rFonts w:ascii="Arial" w:eastAsia="Times New Roman" w:hAnsi="Arial" w:cs="Arial"/>
                      <w:color w:val="000000"/>
                      <w:sz w:val="21"/>
                      <w:szCs w:val="21"/>
                      <w:lang w:eastAsia="tr-TR"/>
                    </w:rPr>
                  </w:pPr>
                  <w:r w:rsidRPr="0045530E">
                    <w:rPr>
                      <w:rFonts w:ascii="Arial" w:eastAsia="Times New Roman" w:hAnsi="Arial" w:cs="Arial"/>
                      <w:color w:val="000000"/>
                      <w:sz w:val="21"/>
                      <w:szCs w:val="21"/>
                      <w:lang w:eastAsia="tr-TR"/>
                    </w:rPr>
                    <w:t>Marketing Category</w:t>
                  </w:r>
                </w:p>
              </w:tc>
              <w:tc>
                <w:tcPr>
                  <w:tcW w:w="0" w:type="auto"/>
                  <w:tcBorders>
                    <w:top w:val="single" w:sz="6" w:space="0" w:color="000000"/>
                    <w:left w:val="nil"/>
                    <w:bottom w:val="nil"/>
                    <w:right w:val="single" w:sz="6" w:space="0" w:color="auto"/>
                  </w:tcBorders>
                  <w:shd w:val="clear" w:color="auto" w:fill="FFCD6F"/>
                  <w:tcMar>
                    <w:top w:w="90" w:type="dxa"/>
                    <w:left w:w="90" w:type="dxa"/>
                    <w:bottom w:w="90" w:type="dxa"/>
                    <w:right w:w="90" w:type="dxa"/>
                  </w:tcMar>
                  <w:vAlign w:val="bottom"/>
                  <w:hideMark/>
                </w:tcPr>
                <w:p w:rsidR="0045530E" w:rsidRPr="0045530E" w:rsidRDefault="0045530E" w:rsidP="0045530E">
                  <w:pPr>
                    <w:spacing w:after="0" w:line="240" w:lineRule="auto"/>
                    <w:jc w:val="center"/>
                    <w:rPr>
                      <w:rFonts w:ascii="Arial" w:eastAsia="Times New Roman" w:hAnsi="Arial" w:cs="Arial"/>
                      <w:color w:val="000000"/>
                      <w:sz w:val="21"/>
                      <w:szCs w:val="21"/>
                      <w:lang w:eastAsia="tr-TR"/>
                    </w:rPr>
                  </w:pPr>
                  <w:r w:rsidRPr="0045530E">
                    <w:rPr>
                      <w:rFonts w:ascii="Arial" w:eastAsia="Times New Roman" w:hAnsi="Arial" w:cs="Arial"/>
                      <w:color w:val="000000"/>
                      <w:sz w:val="21"/>
                      <w:szCs w:val="21"/>
                      <w:lang w:eastAsia="tr-TR"/>
                    </w:rPr>
                    <w:t>Application Number or Monograph Citation</w:t>
                  </w:r>
                </w:p>
              </w:tc>
              <w:tc>
                <w:tcPr>
                  <w:tcW w:w="0" w:type="auto"/>
                  <w:tcBorders>
                    <w:top w:val="single" w:sz="6" w:space="0" w:color="000000"/>
                    <w:left w:val="nil"/>
                    <w:bottom w:val="nil"/>
                    <w:right w:val="single" w:sz="6" w:space="0" w:color="auto"/>
                  </w:tcBorders>
                  <w:shd w:val="clear" w:color="auto" w:fill="FFCD6F"/>
                  <w:tcMar>
                    <w:top w:w="90" w:type="dxa"/>
                    <w:left w:w="90" w:type="dxa"/>
                    <w:bottom w:w="90" w:type="dxa"/>
                    <w:right w:w="90" w:type="dxa"/>
                  </w:tcMar>
                  <w:vAlign w:val="bottom"/>
                  <w:hideMark/>
                </w:tcPr>
                <w:p w:rsidR="0045530E" w:rsidRPr="0045530E" w:rsidRDefault="0045530E" w:rsidP="0045530E">
                  <w:pPr>
                    <w:spacing w:after="0" w:line="240" w:lineRule="auto"/>
                    <w:jc w:val="center"/>
                    <w:rPr>
                      <w:rFonts w:ascii="Arial" w:eastAsia="Times New Roman" w:hAnsi="Arial" w:cs="Arial"/>
                      <w:color w:val="000000"/>
                      <w:sz w:val="21"/>
                      <w:szCs w:val="21"/>
                      <w:lang w:eastAsia="tr-TR"/>
                    </w:rPr>
                  </w:pPr>
                  <w:r w:rsidRPr="0045530E">
                    <w:rPr>
                      <w:rFonts w:ascii="Arial" w:eastAsia="Times New Roman" w:hAnsi="Arial" w:cs="Arial"/>
                      <w:color w:val="000000"/>
                      <w:sz w:val="21"/>
                      <w:szCs w:val="21"/>
                      <w:lang w:eastAsia="tr-TR"/>
                    </w:rPr>
                    <w:t>Marketing Start Date</w:t>
                  </w:r>
                </w:p>
              </w:tc>
              <w:tc>
                <w:tcPr>
                  <w:tcW w:w="0" w:type="auto"/>
                  <w:tcBorders>
                    <w:top w:val="single" w:sz="6" w:space="0" w:color="000000"/>
                    <w:left w:val="nil"/>
                    <w:bottom w:val="nil"/>
                    <w:right w:val="single" w:sz="6" w:space="0" w:color="auto"/>
                  </w:tcBorders>
                  <w:shd w:val="clear" w:color="auto" w:fill="FFCD6F"/>
                  <w:tcMar>
                    <w:top w:w="90" w:type="dxa"/>
                    <w:left w:w="90" w:type="dxa"/>
                    <w:bottom w:w="90" w:type="dxa"/>
                    <w:right w:w="90" w:type="dxa"/>
                  </w:tcMar>
                  <w:vAlign w:val="bottom"/>
                  <w:hideMark/>
                </w:tcPr>
                <w:p w:rsidR="0045530E" w:rsidRPr="0045530E" w:rsidRDefault="0045530E" w:rsidP="0045530E">
                  <w:pPr>
                    <w:spacing w:after="0" w:line="240" w:lineRule="auto"/>
                    <w:jc w:val="center"/>
                    <w:rPr>
                      <w:rFonts w:ascii="Arial" w:eastAsia="Times New Roman" w:hAnsi="Arial" w:cs="Arial"/>
                      <w:color w:val="000000"/>
                      <w:sz w:val="21"/>
                      <w:szCs w:val="21"/>
                      <w:lang w:eastAsia="tr-TR"/>
                    </w:rPr>
                  </w:pPr>
                  <w:r w:rsidRPr="0045530E">
                    <w:rPr>
                      <w:rFonts w:ascii="Arial" w:eastAsia="Times New Roman" w:hAnsi="Arial" w:cs="Arial"/>
                      <w:color w:val="000000"/>
                      <w:sz w:val="21"/>
                      <w:szCs w:val="21"/>
                      <w:lang w:eastAsia="tr-TR"/>
                    </w:rPr>
                    <w:t>Marketing End Date</w:t>
                  </w:r>
                </w:p>
              </w:tc>
            </w:tr>
            <w:tr w:rsidR="0045530E" w:rsidRPr="0045530E">
              <w:tc>
                <w:tcPr>
                  <w:tcW w:w="6" w:type="dxa"/>
                  <w:tcBorders>
                    <w:top w:val="single" w:sz="6" w:space="0" w:color="000000"/>
                    <w:left w:val="nil"/>
                    <w:bottom w:val="nil"/>
                    <w:right w:val="single" w:sz="6" w:space="0" w:color="000000"/>
                  </w:tcBorders>
                  <w:shd w:val="clear" w:color="auto" w:fill="FFFFFF"/>
                  <w:tcMar>
                    <w:top w:w="90" w:type="dxa"/>
                    <w:left w:w="90" w:type="dxa"/>
                    <w:bottom w:w="90" w:type="dxa"/>
                    <w:right w:w="90" w:type="dxa"/>
                  </w:tcMar>
                  <w:hideMark/>
                </w:tcPr>
                <w:p w:rsidR="0045530E" w:rsidRPr="0045530E" w:rsidRDefault="0045530E" w:rsidP="0045530E">
                  <w:pPr>
                    <w:spacing w:after="0" w:line="240" w:lineRule="auto"/>
                    <w:rPr>
                      <w:rFonts w:ascii="Arial" w:eastAsia="Times New Roman" w:hAnsi="Arial" w:cs="Arial"/>
                      <w:color w:val="000000"/>
                      <w:sz w:val="21"/>
                      <w:szCs w:val="21"/>
                      <w:lang w:eastAsia="tr-TR"/>
                    </w:rPr>
                  </w:pPr>
                  <w:r w:rsidRPr="0045530E">
                    <w:rPr>
                      <w:rFonts w:ascii="Arial" w:eastAsia="Times New Roman" w:hAnsi="Arial" w:cs="Arial"/>
                      <w:color w:val="000000"/>
                      <w:sz w:val="21"/>
                      <w:szCs w:val="21"/>
                      <w:lang w:eastAsia="tr-TR"/>
                    </w:rPr>
                    <w:t>ANDA</w:t>
                  </w:r>
                </w:p>
              </w:tc>
              <w:tc>
                <w:tcPr>
                  <w:tcW w:w="6" w:type="dxa"/>
                  <w:tcBorders>
                    <w:top w:val="single" w:sz="6" w:space="0" w:color="000000"/>
                    <w:left w:val="nil"/>
                    <w:bottom w:val="nil"/>
                    <w:right w:val="single" w:sz="6" w:space="0" w:color="000000"/>
                  </w:tcBorders>
                  <w:shd w:val="clear" w:color="auto" w:fill="FFFFFF"/>
                  <w:tcMar>
                    <w:top w:w="90" w:type="dxa"/>
                    <w:left w:w="90" w:type="dxa"/>
                    <w:bottom w:w="90" w:type="dxa"/>
                    <w:right w:w="90" w:type="dxa"/>
                  </w:tcMar>
                  <w:hideMark/>
                </w:tcPr>
                <w:p w:rsidR="0045530E" w:rsidRPr="0045530E" w:rsidRDefault="0045530E" w:rsidP="0045530E">
                  <w:pPr>
                    <w:spacing w:after="0" w:line="240" w:lineRule="auto"/>
                    <w:rPr>
                      <w:rFonts w:ascii="Arial" w:eastAsia="Times New Roman" w:hAnsi="Arial" w:cs="Arial"/>
                      <w:color w:val="000000"/>
                      <w:sz w:val="21"/>
                      <w:szCs w:val="21"/>
                      <w:lang w:eastAsia="tr-TR"/>
                    </w:rPr>
                  </w:pPr>
                  <w:r w:rsidRPr="0045530E">
                    <w:rPr>
                      <w:rFonts w:ascii="Arial" w:eastAsia="Times New Roman" w:hAnsi="Arial" w:cs="Arial"/>
                      <w:color w:val="000000"/>
                      <w:sz w:val="21"/>
                      <w:szCs w:val="21"/>
                      <w:lang w:eastAsia="tr-TR"/>
                    </w:rPr>
                    <w:t>ANDA204519</w:t>
                  </w:r>
                </w:p>
              </w:tc>
              <w:tc>
                <w:tcPr>
                  <w:tcW w:w="6" w:type="dxa"/>
                  <w:tcBorders>
                    <w:top w:val="single" w:sz="6" w:space="0" w:color="000000"/>
                    <w:left w:val="nil"/>
                    <w:bottom w:val="nil"/>
                    <w:right w:val="single" w:sz="6" w:space="0" w:color="000000"/>
                  </w:tcBorders>
                  <w:shd w:val="clear" w:color="auto" w:fill="FFFFFF"/>
                  <w:tcMar>
                    <w:top w:w="90" w:type="dxa"/>
                    <w:left w:w="90" w:type="dxa"/>
                    <w:bottom w:w="90" w:type="dxa"/>
                    <w:right w:w="90" w:type="dxa"/>
                  </w:tcMar>
                  <w:hideMark/>
                </w:tcPr>
                <w:p w:rsidR="0045530E" w:rsidRPr="0045530E" w:rsidRDefault="0045530E" w:rsidP="0045530E">
                  <w:pPr>
                    <w:spacing w:after="0" w:line="240" w:lineRule="auto"/>
                    <w:rPr>
                      <w:rFonts w:ascii="Arial" w:eastAsia="Times New Roman" w:hAnsi="Arial" w:cs="Arial"/>
                      <w:color w:val="000000"/>
                      <w:sz w:val="21"/>
                      <w:szCs w:val="21"/>
                      <w:lang w:eastAsia="tr-TR"/>
                    </w:rPr>
                  </w:pPr>
                  <w:proofErr w:type="gramStart"/>
                  <w:r w:rsidRPr="0045530E">
                    <w:rPr>
                      <w:rFonts w:ascii="Arial" w:eastAsia="Times New Roman" w:hAnsi="Arial" w:cs="Arial"/>
                      <w:color w:val="000000"/>
                      <w:sz w:val="21"/>
                      <w:szCs w:val="21"/>
                      <w:lang w:eastAsia="tr-TR"/>
                    </w:rPr>
                    <w:t>11/24/2015</w:t>
                  </w:r>
                  <w:proofErr w:type="gramEnd"/>
                </w:p>
              </w:tc>
              <w:tc>
                <w:tcPr>
                  <w:tcW w:w="6" w:type="dxa"/>
                  <w:tcBorders>
                    <w:top w:val="single" w:sz="6" w:space="0" w:color="000000"/>
                    <w:left w:val="nil"/>
                    <w:bottom w:val="nil"/>
                    <w:right w:val="single" w:sz="6" w:space="0" w:color="000000"/>
                  </w:tcBorders>
                  <w:shd w:val="clear" w:color="auto" w:fill="FFFFFF"/>
                  <w:tcMar>
                    <w:top w:w="90" w:type="dxa"/>
                    <w:left w:w="90" w:type="dxa"/>
                    <w:bottom w:w="90" w:type="dxa"/>
                    <w:right w:w="90" w:type="dxa"/>
                  </w:tcMar>
                  <w:hideMark/>
                </w:tcPr>
                <w:p w:rsidR="0045530E" w:rsidRPr="0045530E" w:rsidRDefault="0045530E" w:rsidP="0045530E">
                  <w:pPr>
                    <w:spacing w:after="0" w:line="240" w:lineRule="auto"/>
                    <w:rPr>
                      <w:rFonts w:ascii="Arial" w:eastAsia="Times New Roman" w:hAnsi="Arial" w:cs="Arial"/>
                      <w:color w:val="000000"/>
                      <w:sz w:val="21"/>
                      <w:szCs w:val="21"/>
                      <w:lang w:eastAsia="tr-TR"/>
                    </w:rPr>
                  </w:pPr>
                </w:p>
              </w:tc>
            </w:tr>
          </w:tbl>
          <w:p w:rsidR="0045530E" w:rsidRPr="0045530E" w:rsidRDefault="0045530E" w:rsidP="0045530E">
            <w:pPr>
              <w:spacing w:after="0" w:line="240" w:lineRule="atLeast"/>
              <w:rPr>
                <w:rFonts w:ascii="Arial" w:eastAsia="Times New Roman" w:hAnsi="Arial" w:cs="Arial"/>
                <w:sz w:val="21"/>
                <w:szCs w:val="21"/>
                <w:lang w:eastAsia="tr-TR"/>
              </w:rPr>
            </w:pPr>
          </w:p>
        </w:tc>
      </w:tr>
      <w:tr w:rsidR="0045530E" w:rsidRPr="0045530E" w:rsidTr="0045530E">
        <w:tblPrEx>
          <w:tblBorders>
            <w:top w:val="single" w:sz="6" w:space="0" w:color="000000"/>
            <w:left w:val="single" w:sz="6" w:space="0" w:color="000000"/>
            <w:bottom w:val="single" w:sz="6" w:space="0" w:color="000000"/>
            <w:right w:val="single" w:sz="6" w:space="0" w:color="000000"/>
          </w:tblBorders>
        </w:tblPrEx>
        <w:trPr>
          <w:gridBefore w:val="1"/>
          <w:wBefore w:w="120" w:type="dxa"/>
        </w:trPr>
        <w:tc>
          <w:tcPr>
            <w:tcW w:w="0" w:type="auto"/>
            <w:gridSpan w:val="2"/>
            <w:tcBorders>
              <w:top w:val="single" w:sz="6" w:space="0" w:color="000000"/>
              <w:left w:val="single" w:sz="6" w:space="0" w:color="000000"/>
              <w:bottom w:val="single" w:sz="6" w:space="0" w:color="000000"/>
              <w:right w:val="single" w:sz="6" w:space="0" w:color="000000"/>
            </w:tcBorders>
            <w:shd w:val="clear" w:color="auto" w:fill="2B789F"/>
            <w:tcMar>
              <w:top w:w="120" w:type="dxa"/>
              <w:left w:w="120" w:type="dxa"/>
              <w:bottom w:w="120" w:type="dxa"/>
              <w:right w:w="120" w:type="dxa"/>
            </w:tcMar>
            <w:hideMark/>
          </w:tcPr>
          <w:p w:rsidR="0045530E" w:rsidRPr="0045530E" w:rsidRDefault="0045530E" w:rsidP="0045530E">
            <w:pPr>
              <w:spacing w:after="0" w:line="240" w:lineRule="auto"/>
              <w:rPr>
                <w:rFonts w:ascii="Arial" w:eastAsia="Times New Roman" w:hAnsi="Arial" w:cs="Arial"/>
                <w:caps/>
                <w:color w:val="FFFFFF"/>
                <w:sz w:val="21"/>
                <w:szCs w:val="21"/>
                <w:lang w:eastAsia="tr-TR"/>
              </w:rPr>
            </w:pPr>
            <w:r w:rsidRPr="0045530E">
              <w:rPr>
                <w:rFonts w:ascii="inherit" w:eastAsia="Times New Roman" w:hAnsi="inherit" w:cs="Arial"/>
                <w:caps/>
                <w:color w:val="FFFFFF"/>
                <w:sz w:val="21"/>
                <w:szCs w:val="21"/>
                <w:bdr w:val="none" w:sz="0" w:space="0" w:color="auto" w:frame="1"/>
                <w:lang w:eastAsia="tr-TR"/>
              </w:rPr>
              <w:t>LABELER - </w:t>
            </w:r>
            <w:r w:rsidRPr="0045530E">
              <w:rPr>
                <w:rFonts w:ascii="Arial" w:eastAsia="Times New Roman" w:hAnsi="Arial" w:cs="Arial"/>
                <w:caps/>
                <w:color w:val="FFFFFF"/>
                <w:sz w:val="21"/>
                <w:szCs w:val="21"/>
                <w:lang w:eastAsia="tr-TR"/>
              </w:rPr>
              <w:t>SYDON LABS LLC (</w:t>
            </w:r>
            <w:proofErr w:type="gramStart"/>
            <w:r w:rsidRPr="0045530E">
              <w:rPr>
                <w:rFonts w:ascii="Arial" w:eastAsia="Times New Roman" w:hAnsi="Arial" w:cs="Arial"/>
                <w:caps/>
                <w:color w:val="FFFFFF"/>
                <w:sz w:val="21"/>
                <w:szCs w:val="21"/>
                <w:lang w:eastAsia="tr-TR"/>
              </w:rPr>
              <w:t>079598461</w:t>
            </w:r>
            <w:proofErr w:type="gramEnd"/>
            <w:r w:rsidRPr="0045530E">
              <w:rPr>
                <w:rFonts w:ascii="Arial" w:eastAsia="Times New Roman" w:hAnsi="Arial" w:cs="Arial"/>
                <w:caps/>
                <w:color w:val="FFFFFF"/>
                <w:sz w:val="21"/>
                <w:szCs w:val="21"/>
                <w:lang w:eastAsia="tr-TR"/>
              </w:rPr>
              <w:t>)</w:t>
            </w:r>
          </w:p>
        </w:tc>
      </w:tr>
    </w:tbl>
    <w:p w:rsidR="0045530E" w:rsidRPr="0045530E" w:rsidRDefault="0045530E" w:rsidP="0045530E">
      <w:pPr>
        <w:numPr>
          <w:ilvl w:val="0"/>
          <w:numId w:val="9"/>
        </w:numPr>
        <w:shd w:val="clear" w:color="auto" w:fill="FFFFFF"/>
        <w:spacing w:line="240" w:lineRule="auto"/>
        <w:ind w:left="450"/>
        <w:textAlignment w:val="baseline"/>
        <w:rPr>
          <w:rFonts w:ascii="inherit" w:eastAsia="Times New Roman" w:hAnsi="inherit" w:cs="Arial"/>
          <w:vanish/>
          <w:color w:val="222222"/>
          <w:sz w:val="21"/>
          <w:szCs w:val="21"/>
          <w:lang w:eastAsia="tr-TR"/>
        </w:rPr>
      </w:pPr>
    </w:p>
    <w:tbl>
      <w:tblPr>
        <w:tblW w:w="5000" w:type="pct"/>
        <w:tblBorders>
          <w:top w:val="single" w:sz="6" w:space="0" w:color="000000"/>
          <w:left w:val="single" w:sz="6" w:space="0" w:color="000000"/>
          <w:bottom w:val="single" w:sz="6" w:space="0" w:color="000000"/>
          <w:right w:val="single" w:sz="6" w:space="0" w:color="000000"/>
        </w:tblBorders>
        <w:tblCellMar>
          <w:left w:w="0" w:type="dxa"/>
          <w:right w:w="0" w:type="dxa"/>
        </w:tblCellMar>
        <w:tblLook w:val="04A0" w:firstRow="1" w:lastRow="0" w:firstColumn="1" w:lastColumn="0" w:noHBand="0" w:noVBand="1"/>
      </w:tblPr>
      <w:tblGrid>
        <w:gridCol w:w="3816"/>
        <w:gridCol w:w="1259"/>
        <w:gridCol w:w="1390"/>
        <w:gridCol w:w="2847"/>
      </w:tblGrid>
      <w:tr w:rsidR="0045530E" w:rsidRPr="0045530E" w:rsidTr="0045530E">
        <w:tc>
          <w:tcPr>
            <w:tcW w:w="0" w:type="auto"/>
            <w:gridSpan w:val="4"/>
            <w:tcBorders>
              <w:top w:val="single" w:sz="6" w:space="0" w:color="000000"/>
              <w:left w:val="single" w:sz="6" w:space="0" w:color="000000"/>
              <w:bottom w:val="single" w:sz="6" w:space="0" w:color="000000"/>
              <w:right w:val="single" w:sz="6" w:space="0" w:color="000000"/>
            </w:tcBorders>
            <w:shd w:val="clear" w:color="auto" w:fill="2B789F"/>
            <w:tcMar>
              <w:top w:w="120" w:type="dxa"/>
              <w:left w:w="120" w:type="dxa"/>
              <w:bottom w:w="120" w:type="dxa"/>
              <w:right w:w="120" w:type="dxa"/>
            </w:tcMar>
            <w:hideMark/>
          </w:tcPr>
          <w:p w:rsidR="0045530E" w:rsidRPr="0045530E" w:rsidRDefault="0045530E" w:rsidP="0045530E">
            <w:pPr>
              <w:spacing w:after="0" w:line="240" w:lineRule="auto"/>
              <w:rPr>
                <w:rFonts w:ascii="Arial" w:eastAsia="Times New Roman" w:hAnsi="Arial" w:cs="Arial"/>
                <w:caps/>
                <w:color w:val="FFFFFF"/>
                <w:sz w:val="21"/>
                <w:szCs w:val="21"/>
                <w:lang w:eastAsia="tr-TR"/>
              </w:rPr>
            </w:pPr>
            <w:r w:rsidRPr="0045530E">
              <w:rPr>
                <w:rFonts w:ascii="inherit" w:eastAsia="Times New Roman" w:hAnsi="inherit" w:cs="Arial"/>
                <w:caps/>
                <w:color w:val="FFFFFF"/>
                <w:sz w:val="21"/>
                <w:szCs w:val="21"/>
                <w:bdr w:val="none" w:sz="0" w:space="0" w:color="auto" w:frame="1"/>
                <w:lang w:eastAsia="tr-TR"/>
              </w:rPr>
              <w:t>ESTABLISHMENT</w:t>
            </w:r>
          </w:p>
        </w:tc>
      </w:tr>
      <w:tr w:rsidR="0045530E" w:rsidRPr="0045530E" w:rsidTr="0045530E">
        <w:tc>
          <w:tcPr>
            <w:tcW w:w="0" w:type="auto"/>
            <w:tcBorders>
              <w:top w:val="single" w:sz="6" w:space="0" w:color="000000"/>
              <w:left w:val="nil"/>
              <w:bottom w:val="nil"/>
              <w:right w:val="single" w:sz="6" w:space="0" w:color="000000"/>
            </w:tcBorders>
            <w:shd w:val="clear" w:color="auto" w:fill="2B789F"/>
            <w:tcMar>
              <w:top w:w="90" w:type="dxa"/>
              <w:left w:w="90" w:type="dxa"/>
              <w:bottom w:w="90" w:type="dxa"/>
              <w:right w:w="90" w:type="dxa"/>
            </w:tcMar>
            <w:vAlign w:val="bottom"/>
            <w:hideMark/>
          </w:tcPr>
          <w:p w:rsidR="0045530E" w:rsidRPr="0045530E" w:rsidRDefault="0045530E" w:rsidP="0045530E">
            <w:pPr>
              <w:spacing w:after="0" w:line="240" w:lineRule="auto"/>
              <w:jc w:val="center"/>
              <w:rPr>
                <w:rFonts w:ascii="Arial" w:eastAsia="Times New Roman" w:hAnsi="Arial" w:cs="Arial"/>
                <w:b/>
                <w:bCs/>
                <w:color w:val="FFFFFF"/>
                <w:sz w:val="24"/>
                <w:szCs w:val="24"/>
                <w:lang w:eastAsia="tr-TR"/>
              </w:rPr>
            </w:pPr>
            <w:r w:rsidRPr="0045530E">
              <w:rPr>
                <w:rFonts w:ascii="Arial" w:eastAsia="Times New Roman" w:hAnsi="Arial" w:cs="Arial"/>
                <w:b/>
                <w:bCs/>
                <w:color w:val="FFFFFF"/>
                <w:sz w:val="24"/>
                <w:szCs w:val="24"/>
                <w:lang w:eastAsia="tr-TR"/>
              </w:rPr>
              <w:t>Name</w:t>
            </w:r>
          </w:p>
        </w:tc>
        <w:tc>
          <w:tcPr>
            <w:tcW w:w="0" w:type="auto"/>
            <w:tcBorders>
              <w:top w:val="single" w:sz="6" w:space="0" w:color="000000"/>
              <w:left w:val="nil"/>
              <w:bottom w:val="nil"/>
              <w:right w:val="single" w:sz="6" w:space="0" w:color="000000"/>
            </w:tcBorders>
            <w:shd w:val="clear" w:color="auto" w:fill="2B789F"/>
            <w:tcMar>
              <w:top w:w="90" w:type="dxa"/>
              <w:left w:w="90" w:type="dxa"/>
              <w:bottom w:w="90" w:type="dxa"/>
              <w:right w:w="90" w:type="dxa"/>
            </w:tcMar>
            <w:vAlign w:val="bottom"/>
            <w:hideMark/>
          </w:tcPr>
          <w:p w:rsidR="0045530E" w:rsidRPr="0045530E" w:rsidRDefault="0045530E" w:rsidP="0045530E">
            <w:pPr>
              <w:spacing w:after="0" w:line="240" w:lineRule="auto"/>
              <w:jc w:val="center"/>
              <w:rPr>
                <w:rFonts w:ascii="Arial" w:eastAsia="Times New Roman" w:hAnsi="Arial" w:cs="Arial"/>
                <w:b/>
                <w:bCs/>
                <w:color w:val="FFFFFF"/>
                <w:sz w:val="24"/>
                <w:szCs w:val="24"/>
                <w:lang w:eastAsia="tr-TR"/>
              </w:rPr>
            </w:pPr>
            <w:r w:rsidRPr="0045530E">
              <w:rPr>
                <w:rFonts w:ascii="Arial" w:eastAsia="Times New Roman" w:hAnsi="Arial" w:cs="Arial"/>
                <w:b/>
                <w:bCs/>
                <w:color w:val="FFFFFF"/>
                <w:sz w:val="24"/>
                <w:szCs w:val="24"/>
                <w:lang w:eastAsia="tr-TR"/>
              </w:rPr>
              <w:t>Address</w:t>
            </w:r>
          </w:p>
        </w:tc>
        <w:tc>
          <w:tcPr>
            <w:tcW w:w="0" w:type="auto"/>
            <w:tcBorders>
              <w:top w:val="single" w:sz="6" w:space="0" w:color="000000"/>
              <w:left w:val="nil"/>
              <w:bottom w:val="nil"/>
              <w:right w:val="single" w:sz="6" w:space="0" w:color="000000"/>
            </w:tcBorders>
            <w:shd w:val="clear" w:color="auto" w:fill="2B789F"/>
            <w:tcMar>
              <w:top w:w="90" w:type="dxa"/>
              <w:left w:w="90" w:type="dxa"/>
              <w:bottom w:w="90" w:type="dxa"/>
              <w:right w:w="90" w:type="dxa"/>
            </w:tcMar>
            <w:vAlign w:val="bottom"/>
            <w:hideMark/>
          </w:tcPr>
          <w:p w:rsidR="0045530E" w:rsidRPr="0045530E" w:rsidRDefault="0045530E" w:rsidP="0045530E">
            <w:pPr>
              <w:spacing w:after="0" w:line="240" w:lineRule="auto"/>
              <w:jc w:val="center"/>
              <w:rPr>
                <w:rFonts w:ascii="Arial" w:eastAsia="Times New Roman" w:hAnsi="Arial" w:cs="Arial"/>
                <w:b/>
                <w:bCs/>
                <w:color w:val="FFFFFF"/>
                <w:sz w:val="24"/>
                <w:szCs w:val="24"/>
                <w:lang w:eastAsia="tr-TR"/>
              </w:rPr>
            </w:pPr>
            <w:r w:rsidRPr="0045530E">
              <w:rPr>
                <w:rFonts w:ascii="Arial" w:eastAsia="Times New Roman" w:hAnsi="Arial" w:cs="Arial"/>
                <w:b/>
                <w:bCs/>
                <w:color w:val="FFFFFF"/>
                <w:sz w:val="24"/>
                <w:szCs w:val="24"/>
                <w:lang w:eastAsia="tr-TR"/>
              </w:rPr>
              <w:t>ID/FEI</w:t>
            </w:r>
          </w:p>
        </w:tc>
        <w:tc>
          <w:tcPr>
            <w:tcW w:w="0" w:type="auto"/>
            <w:tcBorders>
              <w:top w:val="single" w:sz="6" w:space="0" w:color="000000"/>
              <w:left w:val="nil"/>
              <w:bottom w:val="nil"/>
              <w:right w:val="single" w:sz="6" w:space="0" w:color="000000"/>
            </w:tcBorders>
            <w:shd w:val="clear" w:color="auto" w:fill="2B789F"/>
            <w:tcMar>
              <w:top w:w="90" w:type="dxa"/>
              <w:left w:w="90" w:type="dxa"/>
              <w:bottom w:w="90" w:type="dxa"/>
              <w:right w:w="90" w:type="dxa"/>
            </w:tcMar>
            <w:vAlign w:val="bottom"/>
            <w:hideMark/>
          </w:tcPr>
          <w:p w:rsidR="0045530E" w:rsidRPr="0045530E" w:rsidRDefault="0045530E" w:rsidP="0045530E">
            <w:pPr>
              <w:spacing w:after="0" w:line="240" w:lineRule="auto"/>
              <w:jc w:val="center"/>
              <w:rPr>
                <w:rFonts w:ascii="Arial" w:eastAsia="Times New Roman" w:hAnsi="Arial" w:cs="Arial"/>
                <w:b/>
                <w:bCs/>
                <w:color w:val="FFFFFF"/>
                <w:sz w:val="24"/>
                <w:szCs w:val="24"/>
                <w:lang w:eastAsia="tr-TR"/>
              </w:rPr>
            </w:pPr>
            <w:r w:rsidRPr="0045530E">
              <w:rPr>
                <w:rFonts w:ascii="Arial" w:eastAsia="Times New Roman" w:hAnsi="Arial" w:cs="Arial"/>
                <w:b/>
                <w:bCs/>
                <w:color w:val="FFFFFF"/>
                <w:sz w:val="24"/>
                <w:szCs w:val="24"/>
                <w:lang w:eastAsia="tr-TR"/>
              </w:rPr>
              <w:t>Business Operations</w:t>
            </w:r>
          </w:p>
        </w:tc>
      </w:tr>
      <w:tr w:rsidR="0045530E" w:rsidRPr="0045530E" w:rsidTr="0045530E">
        <w:tc>
          <w:tcPr>
            <w:tcW w:w="0" w:type="auto"/>
            <w:tcBorders>
              <w:top w:val="single" w:sz="6" w:space="0" w:color="000000"/>
              <w:left w:val="nil"/>
              <w:bottom w:val="nil"/>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Alembic Pharmaceuticals Limited</w:t>
            </w:r>
          </w:p>
        </w:tc>
        <w:tc>
          <w:tcPr>
            <w:tcW w:w="0" w:type="auto"/>
            <w:tcBorders>
              <w:top w:val="single" w:sz="6" w:space="0" w:color="000000"/>
              <w:left w:val="nil"/>
              <w:bottom w:val="nil"/>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p>
        </w:tc>
        <w:tc>
          <w:tcPr>
            <w:tcW w:w="0" w:type="auto"/>
            <w:tcBorders>
              <w:top w:val="single" w:sz="6" w:space="0" w:color="000000"/>
              <w:left w:val="nil"/>
              <w:bottom w:val="nil"/>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proofErr w:type="gramStart"/>
            <w:r w:rsidRPr="0045530E">
              <w:rPr>
                <w:rFonts w:ascii="inherit" w:eastAsia="Times New Roman" w:hAnsi="inherit" w:cs="Times New Roman"/>
                <w:sz w:val="24"/>
                <w:szCs w:val="24"/>
                <w:lang w:eastAsia="tr-TR"/>
              </w:rPr>
              <w:t>650574671</w:t>
            </w:r>
            <w:proofErr w:type="gramEnd"/>
          </w:p>
        </w:tc>
        <w:tc>
          <w:tcPr>
            <w:tcW w:w="0" w:type="auto"/>
            <w:tcBorders>
              <w:top w:val="single" w:sz="6" w:space="0" w:color="000000"/>
              <w:left w:val="nil"/>
              <w:bottom w:val="nil"/>
              <w:right w:val="single" w:sz="6" w:space="0" w:color="000000"/>
            </w:tcBorders>
            <w:shd w:val="clear" w:color="auto" w:fill="EEF9FF"/>
            <w:tcMar>
              <w:top w:w="90" w:type="dxa"/>
              <w:left w:w="90" w:type="dxa"/>
              <w:bottom w:w="90" w:type="dxa"/>
              <w:right w:w="90" w:type="dxa"/>
            </w:tcMar>
            <w:hideMark/>
          </w:tcPr>
          <w:p w:rsidR="0045530E" w:rsidRPr="0045530E" w:rsidRDefault="0045530E" w:rsidP="0045530E">
            <w:pPr>
              <w:spacing w:after="0" w:line="240" w:lineRule="auto"/>
              <w:rPr>
                <w:rFonts w:ascii="inherit" w:eastAsia="Times New Roman" w:hAnsi="inherit" w:cs="Times New Roman"/>
                <w:sz w:val="24"/>
                <w:szCs w:val="24"/>
                <w:lang w:eastAsia="tr-TR"/>
              </w:rPr>
            </w:pPr>
            <w:r w:rsidRPr="0045530E">
              <w:rPr>
                <w:rFonts w:ascii="inherit" w:eastAsia="Times New Roman" w:hAnsi="inherit" w:cs="Times New Roman"/>
                <w:sz w:val="24"/>
                <w:szCs w:val="24"/>
                <w:lang w:eastAsia="tr-TR"/>
              </w:rPr>
              <w:t>manufacture(69399-185)</w:t>
            </w:r>
          </w:p>
        </w:tc>
      </w:tr>
    </w:tbl>
    <w:p w:rsidR="0045530E" w:rsidRPr="0045530E" w:rsidRDefault="0045530E" w:rsidP="0045530E">
      <w:pPr>
        <w:numPr>
          <w:ilvl w:val="0"/>
          <w:numId w:val="9"/>
        </w:numPr>
        <w:shd w:val="clear" w:color="auto" w:fill="FFFFFF"/>
        <w:spacing w:after="75" w:line="240" w:lineRule="auto"/>
        <w:ind w:left="450"/>
        <w:textAlignment w:val="baseline"/>
        <w:rPr>
          <w:rFonts w:ascii="inherit" w:eastAsia="Times New Roman" w:hAnsi="inherit" w:cs="Arial"/>
          <w:color w:val="222222"/>
          <w:sz w:val="21"/>
          <w:szCs w:val="21"/>
          <w:lang w:eastAsia="tr-TR"/>
        </w:rPr>
      </w:pPr>
      <w:hyperlink r:id="rId173" w:history="1">
        <w:r w:rsidRPr="0045530E">
          <w:rPr>
            <w:rFonts w:ascii="Arial" w:eastAsia="Times New Roman" w:hAnsi="Arial" w:cs="Arial"/>
            <w:caps/>
            <w:color w:val="1D86BB"/>
            <w:sz w:val="18"/>
            <w:szCs w:val="18"/>
            <w:u w:val="single"/>
            <w:bdr w:val="none" w:sz="0" w:space="0" w:color="auto" w:frame="1"/>
            <w:lang w:eastAsia="tr-TR"/>
          </w:rPr>
          <w:t>CLOSE</w:t>
        </w:r>
      </w:hyperlink>
    </w:p>
    <w:p w:rsidR="0045530E" w:rsidRPr="0045530E" w:rsidRDefault="0045530E" w:rsidP="0045530E">
      <w:pPr>
        <w:shd w:val="clear" w:color="auto" w:fill="FFFFFF"/>
        <w:spacing w:line="240" w:lineRule="auto"/>
        <w:textAlignment w:val="baseline"/>
        <w:rPr>
          <w:rFonts w:ascii="Arial" w:eastAsia="Times New Roman" w:hAnsi="Arial" w:cs="Arial"/>
          <w:caps/>
          <w:color w:val="1D86BB"/>
          <w:sz w:val="18"/>
          <w:szCs w:val="18"/>
          <w:lang w:eastAsia="tr-TR"/>
        </w:rPr>
      </w:pPr>
      <w:hyperlink r:id="rId174" w:history="1">
        <w:r w:rsidRPr="0045530E">
          <w:rPr>
            <w:rFonts w:ascii="inherit" w:eastAsia="Times New Roman" w:hAnsi="inherit" w:cs="Arial"/>
            <w:caps/>
            <w:color w:val="1D86BB"/>
            <w:sz w:val="18"/>
            <w:szCs w:val="18"/>
            <w:u w:val="single"/>
            <w:bdr w:val="none" w:sz="0" w:space="0" w:color="auto" w:frame="1"/>
            <w:lang w:eastAsia="tr-TR"/>
          </w:rPr>
          <w:t>CLOSE ALL SECTIONS</w:t>
        </w:r>
      </w:hyperlink>
    </w:p>
    <w:p w:rsidR="0045530E" w:rsidRPr="0045530E" w:rsidRDefault="0045530E" w:rsidP="0045530E">
      <w:pPr>
        <w:shd w:val="clear" w:color="auto" w:fill="FFFFFF"/>
        <w:spacing w:after="48" w:line="240" w:lineRule="auto"/>
        <w:textAlignment w:val="baseline"/>
        <w:outlineLvl w:val="1"/>
        <w:rPr>
          <w:rFonts w:ascii="Arial" w:eastAsia="Times New Roman" w:hAnsi="Arial" w:cs="Arial"/>
          <w:caps/>
          <w:color w:val="173F54"/>
          <w:sz w:val="21"/>
          <w:szCs w:val="21"/>
          <w:lang w:eastAsia="tr-TR"/>
        </w:rPr>
      </w:pPr>
      <w:r w:rsidRPr="0045530E">
        <w:rPr>
          <w:rFonts w:ascii="Arial" w:eastAsia="Times New Roman" w:hAnsi="Arial" w:cs="Arial"/>
          <w:caps/>
          <w:color w:val="173F54"/>
          <w:sz w:val="21"/>
          <w:szCs w:val="21"/>
          <w:lang w:eastAsia="tr-TR"/>
        </w:rPr>
        <w:t>FIND ADDITIONAL RESOURCES</w:t>
      </w:r>
    </w:p>
    <w:p w:rsidR="0045530E" w:rsidRPr="0045530E" w:rsidRDefault="0045530E" w:rsidP="0045530E">
      <w:pPr>
        <w:shd w:val="clear" w:color="auto" w:fill="FFFFFF"/>
        <w:spacing w:after="0" w:line="240" w:lineRule="auto"/>
        <w:textAlignment w:val="baseline"/>
        <w:rPr>
          <w:rFonts w:ascii="inherit" w:eastAsia="Times New Roman" w:hAnsi="inherit" w:cs="Arial"/>
          <w:color w:val="222222"/>
          <w:sz w:val="21"/>
          <w:szCs w:val="21"/>
          <w:lang w:eastAsia="tr-TR"/>
        </w:rPr>
      </w:pPr>
      <w:r w:rsidRPr="0045530E">
        <w:rPr>
          <w:rFonts w:ascii="inherit" w:eastAsia="Times New Roman" w:hAnsi="inherit" w:cs="Arial"/>
          <w:color w:val="222222"/>
          <w:sz w:val="21"/>
          <w:szCs w:val="21"/>
          <w:lang w:eastAsia="tr-TR"/>
        </w:rPr>
        <w:t> </w:t>
      </w:r>
      <w:r w:rsidRPr="0045530E">
        <w:rPr>
          <w:rFonts w:ascii="Arial" w:eastAsia="Times New Roman" w:hAnsi="Arial" w:cs="Arial"/>
          <w:color w:val="222222"/>
          <w:sz w:val="21"/>
          <w:szCs w:val="21"/>
          <w:bdr w:val="none" w:sz="0" w:space="0" w:color="auto" w:frame="1"/>
          <w:lang w:eastAsia="tr-TR"/>
        </w:rPr>
        <w:t>(also available in the </w:t>
      </w:r>
      <w:hyperlink r:id="rId175" w:anchor="leftmenu" w:history="1">
        <w:r w:rsidRPr="0045530E">
          <w:rPr>
            <w:rFonts w:ascii="inherit" w:eastAsia="Times New Roman" w:hAnsi="inherit" w:cs="Arial"/>
            <w:color w:val="1D86BB"/>
            <w:sz w:val="21"/>
            <w:szCs w:val="21"/>
            <w:u w:val="single"/>
            <w:bdr w:val="none" w:sz="0" w:space="0" w:color="auto" w:frame="1"/>
            <w:lang w:eastAsia="tr-TR"/>
          </w:rPr>
          <w:t>left menu</w:t>
        </w:r>
      </w:hyperlink>
      <w:r w:rsidRPr="0045530E">
        <w:rPr>
          <w:rFonts w:ascii="Arial" w:eastAsia="Times New Roman" w:hAnsi="Arial" w:cs="Arial"/>
          <w:color w:val="222222"/>
          <w:sz w:val="21"/>
          <w:szCs w:val="21"/>
          <w:bdr w:val="none" w:sz="0" w:space="0" w:color="auto" w:frame="1"/>
          <w:lang w:eastAsia="tr-TR"/>
        </w:rPr>
        <w:t>)</w:t>
      </w:r>
    </w:p>
    <w:p w:rsidR="0045530E" w:rsidRPr="0045530E" w:rsidRDefault="0045530E" w:rsidP="0045530E">
      <w:pPr>
        <w:shd w:val="clear" w:color="auto" w:fill="FFFFFF"/>
        <w:spacing w:before="120" w:after="120" w:line="240" w:lineRule="auto"/>
        <w:textAlignment w:val="baseline"/>
        <w:outlineLvl w:val="2"/>
        <w:rPr>
          <w:rFonts w:ascii="Arial" w:eastAsia="Times New Roman" w:hAnsi="Arial" w:cs="Arial"/>
          <w:caps/>
          <w:color w:val="F89025"/>
          <w:sz w:val="21"/>
          <w:szCs w:val="21"/>
          <w:lang w:eastAsia="tr-TR"/>
        </w:rPr>
      </w:pPr>
      <w:r w:rsidRPr="0045530E">
        <w:rPr>
          <w:rFonts w:ascii="Arial" w:eastAsia="Times New Roman" w:hAnsi="Arial" w:cs="Arial"/>
          <w:caps/>
          <w:color w:val="F89025"/>
          <w:sz w:val="21"/>
          <w:szCs w:val="21"/>
          <w:lang w:eastAsia="tr-TR"/>
        </w:rPr>
        <w:t>SAFETY</w:t>
      </w:r>
    </w:p>
    <w:p w:rsidR="0045530E" w:rsidRPr="0045530E" w:rsidRDefault="0045530E" w:rsidP="0045530E">
      <w:pPr>
        <w:shd w:val="clear" w:color="auto" w:fill="FFFFFF"/>
        <w:spacing w:after="0" w:line="240" w:lineRule="auto"/>
        <w:textAlignment w:val="baseline"/>
        <w:rPr>
          <w:rFonts w:ascii="inherit" w:eastAsia="Times New Roman" w:hAnsi="inherit" w:cs="Arial"/>
          <w:color w:val="222222"/>
          <w:sz w:val="21"/>
          <w:szCs w:val="21"/>
          <w:lang w:eastAsia="tr-TR"/>
        </w:rPr>
      </w:pPr>
      <w:hyperlink r:id="rId176" w:anchor="boxedwarning" w:tgtFrame="_blank" w:history="1">
        <w:r w:rsidRPr="0045530E">
          <w:rPr>
            <w:rFonts w:ascii="inherit" w:eastAsia="Times New Roman" w:hAnsi="inherit" w:cs="Arial"/>
            <w:color w:val="1D86BB"/>
            <w:sz w:val="21"/>
            <w:szCs w:val="21"/>
            <w:u w:val="single"/>
            <w:bdr w:val="none" w:sz="0" w:space="0" w:color="auto" w:frame="1"/>
            <w:lang w:eastAsia="tr-TR"/>
          </w:rPr>
          <w:t>Boxed Warnings</w:t>
        </w:r>
      </w:hyperlink>
      <w:r w:rsidRPr="0045530E">
        <w:rPr>
          <w:rFonts w:ascii="inherit" w:eastAsia="Times New Roman" w:hAnsi="inherit" w:cs="Arial"/>
          <w:color w:val="222222"/>
          <w:sz w:val="21"/>
          <w:szCs w:val="21"/>
          <w:lang w:eastAsia="tr-TR"/>
        </w:rPr>
        <w:t>, </w:t>
      </w:r>
      <w:hyperlink r:id="rId177" w:tgtFrame="_blank" w:history="1">
        <w:r w:rsidRPr="0045530E">
          <w:rPr>
            <w:rFonts w:ascii="inherit" w:eastAsia="Times New Roman" w:hAnsi="inherit" w:cs="Arial"/>
            <w:color w:val="1D86BB"/>
            <w:sz w:val="21"/>
            <w:szCs w:val="21"/>
            <w:u w:val="single"/>
            <w:bdr w:val="none" w:sz="0" w:space="0" w:color="auto" w:frame="1"/>
            <w:lang w:eastAsia="tr-TR"/>
          </w:rPr>
          <w:t>Report Adverse Events</w:t>
        </w:r>
      </w:hyperlink>
      <w:r w:rsidRPr="0045530E">
        <w:rPr>
          <w:rFonts w:ascii="inherit" w:eastAsia="Times New Roman" w:hAnsi="inherit" w:cs="Arial"/>
          <w:color w:val="222222"/>
          <w:sz w:val="21"/>
          <w:szCs w:val="21"/>
          <w:lang w:eastAsia="tr-TR"/>
        </w:rPr>
        <w:t>, </w:t>
      </w:r>
      <w:hyperlink r:id="rId178" w:tgtFrame="_blank" w:history="1">
        <w:r w:rsidRPr="0045530E">
          <w:rPr>
            <w:rFonts w:ascii="inherit" w:eastAsia="Times New Roman" w:hAnsi="inherit" w:cs="Arial"/>
            <w:color w:val="1D86BB"/>
            <w:sz w:val="21"/>
            <w:szCs w:val="21"/>
            <w:u w:val="single"/>
            <w:bdr w:val="none" w:sz="0" w:space="0" w:color="auto" w:frame="1"/>
            <w:lang w:eastAsia="tr-TR"/>
          </w:rPr>
          <w:t>FDA Safety Recalls</w:t>
        </w:r>
      </w:hyperlink>
      <w:r w:rsidRPr="0045530E">
        <w:rPr>
          <w:rFonts w:ascii="inherit" w:eastAsia="Times New Roman" w:hAnsi="inherit" w:cs="Arial"/>
          <w:color w:val="222222"/>
          <w:sz w:val="21"/>
          <w:szCs w:val="21"/>
          <w:lang w:eastAsia="tr-TR"/>
        </w:rPr>
        <w:t>, </w:t>
      </w:r>
      <w:hyperlink r:id="rId179" w:tgtFrame="_blank" w:history="1">
        <w:r w:rsidRPr="0045530E">
          <w:rPr>
            <w:rFonts w:ascii="inherit" w:eastAsia="Times New Roman" w:hAnsi="inherit" w:cs="Arial"/>
            <w:color w:val="1D86BB"/>
            <w:sz w:val="21"/>
            <w:szCs w:val="21"/>
            <w:u w:val="single"/>
            <w:bdr w:val="none" w:sz="0" w:space="0" w:color="auto" w:frame="1"/>
            <w:lang w:eastAsia="tr-TR"/>
          </w:rPr>
          <w:t>Presence in Breast Milk</w:t>
        </w:r>
      </w:hyperlink>
    </w:p>
    <w:p w:rsidR="0045530E" w:rsidRPr="0045530E" w:rsidRDefault="0045530E" w:rsidP="0045530E">
      <w:pPr>
        <w:shd w:val="clear" w:color="auto" w:fill="FFFFFF"/>
        <w:spacing w:before="120" w:after="120" w:line="240" w:lineRule="auto"/>
        <w:textAlignment w:val="baseline"/>
        <w:outlineLvl w:val="2"/>
        <w:rPr>
          <w:rFonts w:ascii="Arial" w:eastAsia="Times New Roman" w:hAnsi="Arial" w:cs="Arial"/>
          <w:caps/>
          <w:color w:val="F89025"/>
          <w:sz w:val="21"/>
          <w:szCs w:val="21"/>
          <w:lang w:eastAsia="tr-TR"/>
        </w:rPr>
      </w:pPr>
      <w:r w:rsidRPr="0045530E">
        <w:rPr>
          <w:rFonts w:ascii="Arial" w:eastAsia="Times New Roman" w:hAnsi="Arial" w:cs="Arial"/>
          <w:caps/>
          <w:color w:val="F89025"/>
          <w:sz w:val="21"/>
          <w:szCs w:val="21"/>
          <w:lang w:eastAsia="tr-TR"/>
        </w:rPr>
        <w:t>RELATED RESOURCES</w:t>
      </w:r>
    </w:p>
    <w:p w:rsidR="0045530E" w:rsidRPr="0045530E" w:rsidRDefault="0045530E" w:rsidP="0045530E">
      <w:pPr>
        <w:shd w:val="clear" w:color="auto" w:fill="FFFFFF"/>
        <w:spacing w:after="0" w:line="240" w:lineRule="auto"/>
        <w:textAlignment w:val="baseline"/>
        <w:rPr>
          <w:rFonts w:ascii="inherit" w:eastAsia="Times New Roman" w:hAnsi="inherit" w:cs="Arial"/>
          <w:color w:val="222222"/>
          <w:sz w:val="21"/>
          <w:szCs w:val="21"/>
          <w:lang w:eastAsia="tr-TR"/>
        </w:rPr>
      </w:pPr>
      <w:hyperlink r:id="rId180" w:tgtFrame="_blank" w:history="1">
        <w:r w:rsidRPr="0045530E">
          <w:rPr>
            <w:rFonts w:ascii="inherit" w:eastAsia="Times New Roman" w:hAnsi="inherit" w:cs="Arial"/>
            <w:color w:val="1D86BB"/>
            <w:sz w:val="21"/>
            <w:szCs w:val="21"/>
            <w:u w:val="single"/>
            <w:bdr w:val="none" w:sz="0" w:space="0" w:color="auto" w:frame="1"/>
            <w:lang w:eastAsia="tr-TR"/>
          </w:rPr>
          <w:t>Medline Plus</w:t>
        </w:r>
      </w:hyperlink>
      <w:r w:rsidRPr="0045530E">
        <w:rPr>
          <w:rFonts w:ascii="inherit" w:eastAsia="Times New Roman" w:hAnsi="inherit" w:cs="Arial"/>
          <w:color w:val="222222"/>
          <w:sz w:val="21"/>
          <w:szCs w:val="21"/>
          <w:lang w:eastAsia="tr-TR"/>
        </w:rPr>
        <w:t>, </w:t>
      </w:r>
      <w:hyperlink r:id="rId181" w:tgtFrame="_blank" w:history="1">
        <w:r w:rsidRPr="0045530E">
          <w:rPr>
            <w:rFonts w:ascii="inherit" w:eastAsia="Times New Roman" w:hAnsi="inherit" w:cs="Arial"/>
            <w:color w:val="1D86BB"/>
            <w:sz w:val="21"/>
            <w:szCs w:val="21"/>
            <w:u w:val="single"/>
            <w:bdr w:val="none" w:sz="0" w:space="0" w:color="auto" w:frame="1"/>
            <w:lang w:eastAsia="tr-TR"/>
          </w:rPr>
          <w:t>Clinical Trials</w:t>
        </w:r>
      </w:hyperlink>
      <w:r w:rsidRPr="0045530E">
        <w:rPr>
          <w:rFonts w:ascii="inherit" w:eastAsia="Times New Roman" w:hAnsi="inherit" w:cs="Arial"/>
          <w:color w:val="222222"/>
          <w:sz w:val="21"/>
          <w:szCs w:val="21"/>
          <w:lang w:eastAsia="tr-TR"/>
        </w:rPr>
        <w:t>, </w:t>
      </w:r>
      <w:hyperlink r:id="rId182" w:anchor="pubmed-menu" w:history="1">
        <w:r w:rsidRPr="0045530E">
          <w:rPr>
            <w:rFonts w:ascii="inherit" w:eastAsia="Times New Roman" w:hAnsi="inherit" w:cs="Arial"/>
            <w:color w:val="1D86BB"/>
            <w:sz w:val="21"/>
            <w:szCs w:val="21"/>
            <w:u w:val="single"/>
            <w:bdr w:val="none" w:sz="0" w:space="0" w:color="auto" w:frame="1"/>
            <w:lang w:eastAsia="tr-TR"/>
          </w:rPr>
          <w:t>PubMed</w:t>
        </w:r>
      </w:hyperlink>
      <w:r w:rsidRPr="0045530E">
        <w:rPr>
          <w:rFonts w:ascii="inherit" w:eastAsia="Times New Roman" w:hAnsi="inherit" w:cs="Arial"/>
          <w:color w:val="222222"/>
          <w:sz w:val="21"/>
          <w:szCs w:val="21"/>
          <w:lang w:eastAsia="tr-TR"/>
        </w:rPr>
        <w:t>, </w:t>
      </w:r>
      <w:hyperlink r:id="rId183" w:tgtFrame="_blank" w:history="1">
        <w:r w:rsidRPr="0045530E">
          <w:rPr>
            <w:rFonts w:ascii="inherit" w:eastAsia="Times New Roman" w:hAnsi="inherit" w:cs="Arial"/>
            <w:color w:val="1D86BB"/>
            <w:sz w:val="21"/>
            <w:szCs w:val="21"/>
            <w:u w:val="single"/>
            <w:bdr w:val="none" w:sz="0" w:space="0" w:color="auto" w:frame="1"/>
            <w:lang w:eastAsia="tr-TR"/>
          </w:rPr>
          <w:t>Biochemical Data Summary</w:t>
        </w:r>
      </w:hyperlink>
    </w:p>
    <w:p w:rsidR="0045530E" w:rsidRPr="0045530E" w:rsidRDefault="0045530E" w:rsidP="0045530E">
      <w:pPr>
        <w:shd w:val="clear" w:color="auto" w:fill="FFFFFF"/>
        <w:spacing w:before="120" w:after="120" w:line="240" w:lineRule="auto"/>
        <w:textAlignment w:val="baseline"/>
        <w:outlineLvl w:val="2"/>
        <w:rPr>
          <w:rFonts w:ascii="Arial" w:eastAsia="Times New Roman" w:hAnsi="Arial" w:cs="Arial"/>
          <w:caps/>
          <w:color w:val="F89025"/>
          <w:sz w:val="21"/>
          <w:szCs w:val="21"/>
          <w:lang w:eastAsia="tr-TR"/>
        </w:rPr>
      </w:pPr>
      <w:r w:rsidRPr="0045530E">
        <w:rPr>
          <w:rFonts w:ascii="Arial" w:eastAsia="Times New Roman" w:hAnsi="Arial" w:cs="Arial"/>
          <w:caps/>
          <w:color w:val="F89025"/>
          <w:sz w:val="21"/>
          <w:szCs w:val="21"/>
          <w:lang w:eastAsia="tr-TR"/>
        </w:rPr>
        <w:t>MORE INFO ON THIS DRUG</w:t>
      </w:r>
    </w:p>
    <w:p w:rsidR="0045530E" w:rsidRPr="0045530E" w:rsidRDefault="0045530E" w:rsidP="0045530E">
      <w:pPr>
        <w:shd w:val="clear" w:color="auto" w:fill="FFFFFF"/>
        <w:spacing w:after="0" w:line="240" w:lineRule="auto"/>
        <w:textAlignment w:val="baseline"/>
        <w:rPr>
          <w:rFonts w:ascii="inherit" w:eastAsia="Times New Roman" w:hAnsi="inherit" w:cs="Arial"/>
          <w:color w:val="222222"/>
          <w:sz w:val="21"/>
          <w:szCs w:val="21"/>
          <w:lang w:eastAsia="tr-TR"/>
        </w:rPr>
      </w:pPr>
      <w:hyperlink r:id="rId184" w:anchor="modal-label-archives" w:history="1">
        <w:r w:rsidRPr="0045530E">
          <w:rPr>
            <w:rFonts w:ascii="inherit" w:eastAsia="Times New Roman" w:hAnsi="inherit" w:cs="Arial"/>
            <w:color w:val="1D86BB"/>
            <w:sz w:val="21"/>
            <w:szCs w:val="21"/>
            <w:u w:val="single"/>
            <w:bdr w:val="none" w:sz="0" w:space="0" w:color="auto" w:frame="1"/>
            <w:lang w:eastAsia="tr-TR"/>
          </w:rPr>
          <w:t>View Label Archives</w:t>
        </w:r>
      </w:hyperlink>
      <w:r w:rsidRPr="0045530E">
        <w:rPr>
          <w:rFonts w:ascii="inherit" w:eastAsia="Times New Roman" w:hAnsi="inherit" w:cs="Arial"/>
          <w:color w:val="222222"/>
          <w:sz w:val="21"/>
          <w:szCs w:val="21"/>
          <w:lang w:eastAsia="tr-TR"/>
        </w:rPr>
        <w:t>, </w:t>
      </w:r>
      <w:hyperlink r:id="rId185" w:anchor="modal-rx-norm" w:history="1">
        <w:r w:rsidRPr="0045530E">
          <w:rPr>
            <w:rFonts w:ascii="inherit" w:eastAsia="Times New Roman" w:hAnsi="inherit" w:cs="Arial"/>
            <w:color w:val="1D86BB"/>
            <w:sz w:val="21"/>
            <w:szCs w:val="21"/>
            <w:u w:val="single"/>
            <w:bdr w:val="none" w:sz="0" w:space="0" w:color="auto" w:frame="1"/>
            <w:lang w:eastAsia="tr-TR"/>
          </w:rPr>
          <w:t>RxNorm</w:t>
        </w:r>
      </w:hyperlink>
      <w:r w:rsidRPr="0045530E">
        <w:rPr>
          <w:rFonts w:ascii="inherit" w:eastAsia="Times New Roman" w:hAnsi="inherit" w:cs="Arial"/>
          <w:color w:val="222222"/>
          <w:sz w:val="21"/>
          <w:szCs w:val="21"/>
          <w:lang w:eastAsia="tr-TR"/>
        </w:rPr>
        <w:t>, </w:t>
      </w:r>
      <w:hyperlink r:id="rId186" w:anchor="modal-label-rss" w:history="1">
        <w:r w:rsidRPr="0045530E">
          <w:rPr>
            <w:rFonts w:ascii="inherit" w:eastAsia="Times New Roman" w:hAnsi="inherit" w:cs="Arial"/>
            <w:color w:val="005E8E"/>
            <w:sz w:val="21"/>
            <w:szCs w:val="21"/>
            <w:u w:val="single"/>
            <w:bdr w:val="none" w:sz="0" w:space="0" w:color="auto" w:frame="1"/>
            <w:lang w:eastAsia="tr-TR"/>
          </w:rPr>
          <w:t>Get Label RSS Feed</w:t>
        </w:r>
      </w:hyperlink>
    </w:p>
    <w:p w:rsidR="00FD6251" w:rsidRDefault="00FD6251"/>
    <w:sectPr w:rsidR="00FD625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AFF" w:usb1="C0007843" w:usb2="00000009" w:usb3="00000000" w:csb0="000001FF" w:csb1="00000000"/>
  </w:font>
  <w:font w:name="inherit">
    <w:altName w:val="Times New Roman"/>
    <w:panose1 w:val="00000000000000000000"/>
    <w:charset w:val="00"/>
    <w:family w:val="roman"/>
    <w:notTrueType/>
    <w:pitch w:val="default"/>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31739FF"/>
    <w:multiLevelType w:val="multilevel"/>
    <w:tmpl w:val="3802EF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A2721E7"/>
    <w:multiLevelType w:val="multilevel"/>
    <w:tmpl w:val="B80427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4A3D4362"/>
    <w:multiLevelType w:val="multilevel"/>
    <w:tmpl w:val="8F0A01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51630559"/>
    <w:multiLevelType w:val="multilevel"/>
    <w:tmpl w:val="899A72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553A68D6"/>
    <w:multiLevelType w:val="multilevel"/>
    <w:tmpl w:val="6BDA2B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6D1C1136"/>
    <w:multiLevelType w:val="multilevel"/>
    <w:tmpl w:val="02E2CF5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72307529"/>
    <w:multiLevelType w:val="multilevel"/>
    <w:tmpl w:val="F154B88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73333714"/>
    <w:multiLevelType w:val="multilevel"/>
    <w:tmpl w:val="750A9E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764F7833"/>
    <w:multiLevelType w:val="multilevel"/>
    <w:tmpl w:val="2A0A17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5"/>
  </w:num>
  <w:num w:numId="3">
    <w:abstractNumId w:val="8"/>
  </w:num>
  <w:num w:numId="4">
    <w:abstractNumId w:val="1"/>
  </w:num>
  <w:num w:numId="5">
    <w:abstractNumId w:val="4"/>
  </w:num>
  <w:num w:numId="6">
    <w:abstractNumId w:val="3"/>
  </w:num>
  <w:num w:numId="7">
    <w:abstractNumId w:val="7"/>
  </w:num>
  <w:num w:numId="8">
    <w:abstractNumId w:val="0"/>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530E"/>
    <w:rsid w:val="0045530E"/>
    <w:rsid w:val="00766669"/>
    <w:rsid w:val="00FD625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1">
    <w:name w:val="heading 1"/>
    <w:basedOn w:val="Normal"/>
    <w:link w:val="Balk1Char"/>
    <w:uiPriority w:val="9"/>
    <w:qFormat/>
    <w:rsid w:val="0045530E"/>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tr-TR"/>
    </w:rPr>
  </w:style>
  <w:style w:type="paragraph" w:styleId="Balk2">
    <w:name w:val="heading 2"/>
    <w:basedOn w:val="Normal"/>
    <w:link w:val="Balk2Char"/>
    <w:uiPriority w:val="9"/>
    <w:qFormat/>
    <w:rsid w:val="0045530E"/>
    <w:pPr>
      <w:spacing w:before="100" w:beforeAutospacing="1" w:after="100" w:afterAutospacing="1" w:line="240" w:lineRule="auto"/>
      <w:outlineLvl w:val="1"/>
    </w:pPr>
    <w:rPr>
      <w:rFonts w:ascii="Times New Roman" w:eastAsia="Times New Roman" w:hAnsi="Times New Roman" w:cs="Times New Roman"/>
      <w:b/>
      <w:bCs/>
      <w:sz w:val="36"/>
      <w:szCs w:val="36"/>
      <w:lang w:eastAsia="tr-TR"/>
    </w:rPr>
  </w:style>
  <w:style w:type="paragraph" w:styleId="Balk3">
    <w:name w:val="heading 3"/>
    <w:basedOn w:val="Normal"/>
    <w:link w:val="Balk3Char"/>
    <w:uiPriority w:val="9"/>
    <w:qFormat/>
    <w:rsid w:val="0045530E"/>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45530E"/>
    <w:rPr>
      <w:rFonts w:ascii="Times New Roman" w:eastAsia="Times New Roman" w:hAnsi="Times New Roman" w:cs="Times New Roman"/>
      <w:b/>
      <w:bCs/>
      <w:kern w:val="36"/>
      <w:sz w:val="48"/>
      <w:szCs w:val="48"/>
      <w:lang w:eastAsia="tr-TR"/>
    </w:rPr>
  </w:style>
  <w:style w:type="character" w:customStyle="1" w:styleId="Balk2Char">
    <w:name w:val="Başlık 2 Char"/>
    <w:basedOn w:val="VarsaylanParagrafYazTipi"/>
    <w:link w:val="Balk2"/>
    <w:uiPriority w:val="9"/>
    <w:rsid w:val="0045530E"/>
    <w:rPr>
      <w:rFonts w:ascii="Times New Roman" w:eastAsia="Times New Roman" w:hAnsi="Times New Roman" w:cs="Times New Roman"/>
      <w:b/>
      <w:bCs/>
      <w:sz w:val="36"/>
      <w:szCs w:val="36"/>
      <w:lang w:eastAsia="tr-TR"/>
    </w:rPr>
  </w:style>
  <w:style w:type="character" w:customStyle="1" w:styleId="Balk3Char">
    <w:name w:val="Başlık 3 Char"/>
    <w:basedOn w:val="VarsaylanParagrafYazTipi"/>
    <w:link w:val="Balk3"/>
    <w:uiPriority w:val="9"/>
    <w:rsid w:val="0045530E"/>
    <w:rPr>
      <w:rFonts w:ascii="Times New Roman" w:eastAsia="Times New Roman" w:hAnsi="Times New Roman" w:cs="Times New Roman"/>
      <w:b/>
      <w:bCs/>
      <w:sz w:val="27"/>
      <w:szCs w:val="27"/>
      <w:lang w:eastAsia="tr-TR"/>
    </w:rPr>
  </w:style>
  <w:style w:type="numbering" w:customStyle="1" w:styleId="ListeYok1">
    <w:name w:val="Liste Yok1"/>
    <w:next w:val="ListeYok"/>
    <w:uiPriority w:val="99"/>
    <w:semiHidden/>
    <w:unhideWhenUsed/>
    <w:rsid w:val="0045530E"/>
  </w:style>
  <w:style w:type="character" w:customStyle="1" w:styleId="apple-converted-space">
    <w:name w:val="apple-converted-space"/>
    <w:basedOn w:val="VarsaylanParagrafYazTipi"/>
    <w:rsid w:val="0045530E"/>
  </w:style>
  <w:style w:type="character" w:customStyle="1" w:styleId="long-title">
    <w:name w:val="long-title"/>
    <w:basedOn w:val="VarsaylanParagrafYazTipi"/>
    <w:rsid w:val="0045530E"/>
  </w:style>
  <w:style w:type="character" w:styleId="Kpr">
    <w:name w:val="Hyperlink"/>
    <w:basedOn w:val="VarsaylanParagrafYazTipi"/>
    <w:uiPriority w:val="99"/>
    <w:semiHidden/>
    <w:unhideWhenUsed/>
    <w:rsid w:val="0045530E"/>
    <w:rPr>
      <w:color w:val="0000FF"/>
      <w:u w:val="single"/>
    </w:rPr>
  </w:style>
  <w:style w:type="character" w:styleId="zlenenKpr">
    <w:name w:val="FollowedHyperlink"/>
    <w:basedOn w:val="VarsaylanParagrafYazTipi"/>
    <w:uiPriority w:val="99"/>
    <w:semiHidden/>
    <w:unhideWhenUsed/>
    <w:rsid w:val="0045530E"/>
    <w:rPr>
      <w:color w:val="800080"/>
      <w:u w:val="single"/>
    </w:rPr>
  </w:style>
  <w:style w:type="character" w:customStyle="1" w:styleId="at-icon-wrapper">
    <w:name w:val="at-icon-wrapper"/>
    <w:basedOn w:val="VarsaylanParagrafYazTipi"/>
    <w:rsid w:val="0045530E"/>
  </w:style>
  <w:style w:type="character" w:customStyle="1" w:styleId="enlarge">
    <w:name w:val="enlarge"/>
    <w:basedOn w:val="VarsaylanParagrafYazTipi"/>
    <w:rsid w:val="0045530E"/>
  </w:style>
  <w:style w:type="character" w:styleId="Gl">
    <w:name w:val="Strong"/>
    <w:basedOn w:val="VarsaylanParagrafYazTipi"/>
    <w:uiPriority w:val="22"/>
    <w:qFormat/>
    <w:rsid w:val="0045530E"/>
    <w:rPr>
      <w:b/>
      <w:bCs/>
    </w:rPr>
  </w:style>
  <w:style w:type="character" w:customStyle="1" w:styleId="orangetext">
    <w:name w:val="orangetext"/>
    <w:basedOn w:val="VarsaylanParagrafYazTipi"/>
    <w:rsid w:val="0045530E"/>
  </w:style>
  <w:style w:type="paragraph" w:customStyle="1" w:styleId="date">
    <w:name w:val="date"/>
    <w:basedOn w:val="Normal"/>
    <w:rsid w:val="0045530E"/>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orangetext1">
    <w:name w:val="orangetext1"/>
    <w:basedOn w:val="Normal"/>
    <w:rsid w:val="0045530E"/>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NormalWeb">
    <w:name w:val="Normal (Web)"/>
    <w:basedOn w:val="Normal"/>
    <w:uiPriority w:val="99"/>
    <w:unhideWhenUsed/>
    <w:rsid w:val="0045530E"/>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first">
    <w:name w:val="first"/>
    <w:basedOn w:val="Normal"/>
    <w:rsid w:val="0045530E"/>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old">
    <w:name w:val="bold"/>
    <w:basedOn w:val="VarsaylanParagrafYazTipi"/>
    <w:rsid w:val="0045530E"/>
  </w:style>
  <w:style w:type="character" w:customStyle="1" w:styleId="underline">
    <w:name w:val="underline"/>
    <w:basedOn w:val="VarsaylanParagrafYazTipi"/>
    <w:rsid w:val="0045530E"/>
  </w:style>
  <w:style w:type="character" w:customStyle="1" w:styleId="close-toggle">
    <w:name w:val="close-toggle"/>
    <w:basedOn w:val="VarsaylanParagrafYazTipi"/>
    <w:rsid w:val="0045530E"/>
  </w:style>
  <w:style w:type="character" w:customStyle="1" w:styleId="italics">
    <w:name w:val="italics"/>
    <w:basedOn w:val="VarsaylanParagrafYazTipi"/>
    <w:rsid w:val="0045530E"/>
  </w:style>
  <w:style w:type="paragraph" w:customStyle="1" w:styleId="highlighta">
    <w:name w:val="highlighta"/>
    <w:basedOn w:val="Normal"/>
    <w:rsid w:val="0045530E"/>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highlightsseereference">
    <w:name w:val="highlightsseereference"/>
    <w:basedOn w:val="Normal"/>
    <w:rsid w:val="0045530E"/>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highlightsrevision">
    <w:name w:val="highlightsrevision"/>
    <w:basedOn w:val="Normal"/>
    <w:rsid w:val="0045530E"/>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sub">
    <w:name w:val="sub"/>
    <w:basedOn w:val="VarsaylanParagrafYazTipi"/>
    <w:rsid w:val="0045530E"/>
  </w:style>
  <w:style w:type="character" w:customStyle="1" w:styleId="sup">
    <w:name w:val="sup"/>
    <w:basedOn w:val="VarsaylanParagrafYazTipi"/>
    <w:rsid w:val="0045530E"/>
  </w:style>
  <w:style w:type="character" w:customStyle="1" w:styleId="contenttablereg">
    <w:name w:val="contenttablereg"/>
    <w:basedOn w:val="VarsaylanParagrafYazTipi"/>
    <w:rsid w:val="0045530E"/>
  </w:style>
  <w:style w:type="character" w:customStyle="1" w:styleId="formheadingtitle">
    <w:name w:val="formheadingtitle"/>
    <w:basedOn w:val="VarsaylanParagrafYazTipi"/>
    <w:rsid w:val="0045530E"/>
  </w:style>
  <w:style w:type="paragraph" w:styleId="BalonMetni">
    <w:name w:val="Balloon Text"/>
    <w:basedOn w:val="Normal"/>
    <w:link w:val="BalonMetniChar"/>
    <w:uiPriority w:val="99"/>
    <w:semiHidden/>
    <w:unhideWhenUsed/>
    <w:rsid w:val="0045530E"/>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45530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1">
    <w:name w:val="heading 1"/>
    <w:basedOn w:val="Normal"/>
    <w:link w:val="Balk1Char"/>
    <w:uiPriority w:val="9"/>
    <w:qFormat/>
    <w:rsid w:val="0045530E"/>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tr-TR"/>
    </w:rPr>
  </w:style>
  <w:style w:type="paragraph" w:styleId="Balk2">
    <w:name w:val="heading 2"/>
    <w:basedOn w:val="Normal"/>
    <w:link w:val="Balk2Char"/>
    <w:uiPriority w:val="9"/>
    <w:qFormat/>
    <w:rsid w:val="0045530E"/>
    <w:pPr>
      <w:spacing w:before="100" w:beforeAutospacing="1" w:after="100" w:afterAutospacing="1" w:line="240" w:lineRule="auto"/>
      <w:outlineLvl w:val="1"/>
    </w:pPr>
    <w:rPr>
      <w:rFonts w:ascii="Times New Roman" w:eastAsia="Times New Roman" w:hAnsi="Times New Roman" w:cs="Times New Roman"/>
      <w:b/>
      <w:bCs/>
      <w:sz w:val="36"/>
      <w:szCs w:val="36"/>
      <w:lang w:eastAsia="tr-TR"/>
    </w:rPr>
  </w:style>
  <w:style w:type="paragraph" w:styleId="Balk3">
    <w:name w:val="heading 3"/>
    <w:basedOn w:val="Normal"/>
    <w:link w:val="Balk3Char"/>
    <w:uiPriority w:val="9"/>
    <w:qFormat/>
    <w:rsid w:val="0045530E"/>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45530E"/>
    <w:rPr>
      <w:rFonts w:ascii="Times New Roman" w:eastAsia="Times New Roman" w:hAnsi="Times New Roman" w:cs="Times New Roman"/>
      <w:b/>
      <w:bCs/>
      <w:kern w:val="36"/>
      <w:sz w:val="48"/>
      <w:szCs w:val="48"/>
      <w:lang w:eastAsia="tr-TR"/>
    </w:rPr>
  </w:style>
  <w:style w:type="character" w:customStyle="1" w:styleId="Balk2Char">
    <w:name w:val="Başlık 2 Char"/>
    <w:basedOn w:val="VarsaylanParagrafYazTipi"/>
    <w:link w:val="Balk2"/>
    <w:uiPriority w:val="9"/>
    <w:rsid w:val="0045530E"/>
    <w:rPr>
      <w:rFonts w:ascii="Times New Roman" w:eastAsia="Times New Roman" w:hAnsi="Times New Roman" w:cs="Times New Roman"/>
      <w:b/>
      <w:bCs/>
      <w:sz w:val="36"/>
      <w:szCs w:val="36"/>
      <w:lang w:eastAsia="tr-TR"/>
    </w:rPr>
  </w:style>
  <w:style w:type="character" w:customStyle="1" w:styleId="Balk3Char">
    <w:name w:val="Başlık 3 Char"/>
    <w:basedOn w:val="VarsaylanParagrafYazTipi"/>
    <w:link w:val="Balk3"/>
    <w:uiPriority w:val="9"/>
    <w:rsid w:val="0045530E"/>
    <w:rPr>
      <w:rFonts w:ascii="Times New Roman" w:eastAsia="Times New Roman" w:hAnsi="Times New Roman" w:cs="Times New Roman"/>
      <w:b/>
      <w:bCs/>
      <w:sz w:val="27"/>
      <w:szCs w:val="27"/>
      <w:lang w:eastAsia="tr-TR"/>
    </w:rPr>
  </w:style>
  <w:style w:type="numbering" w:customStyle="1" w:styleId="ListeYok1">
    <w:name w:val="Liste Yok1"/>
    <w:next w:val="ListeYok"/>
    <w:uiPriority w:val="99"/>
    <w:semiHidden/>
    <w:unhideWhenUsed/>
    <w:rsid w:val="0045530E"/>
  </w:style>
  <w:style w:type="character" w:customStyle="1" w:styleId="apple-converted-space">
    <w:name w:val="apple-converted-space"/>
    <w:basedOn w:val="VarsaylanParagrafYazTipi"/>
    <w:rsid w:val="0045530E"/>
  </w:style>
  <w:style w:type="character" w:customStyle="1" w:styleId="long-title">
    <w:name w:val="long-title"/>
    <w:basedOn w:val="VarsaylanParagrafYazTipi"/>
    <w:rsid w:val="0045530E"/>
  </w:style>
  <w:style w:type="character" w:styleId="Kpr">
    <w:name w:val="Hyperlink"/>
    <w:basedOn w:val="VarsaylanParagrafYazTipi"/>
    <w:uiPriority w:val="99"/>
    <w:semiHidden/>
    <w:unhideWhenUsed/>
    <w:rsid w:val="0045530E"/>
    <w:rPr>
      <w:color w:val="0000FF"/>
      <w:u w:val="single"/>
    </w:rPr>
  </w:style>
  <w:style w:type="character" w:styleId="zlenenKpr">
    <w:name w:val="FollowedHyperlink"/>
    <w:basedOn w:val="VarsaylanParagrafYazTipi"/>
    <w:uiPriority w:val="99"/>
    <w:semiHidden/>
    <w:unhideWhenUsed/>
    <w:rsid w:val="0045530E"/>
    <w:rPr>
      <w:color w:val="800080"/>
      <w:u w:val="single"/>
    </w:rPr>
  </w:style>
  <w:style w:type="character" w:customStyle="1" w:styleId="at-icon-wrapper">
    <w:name w:val="at-icon-wrapper"/>
    <w:basedOn w:val="VarsaylanParagrafYazTipi"/>
    <w:rsid w:val="0045530E"/>
  </w:style>
  <w:style w:type="character" w:customStyle="1" w:styleId="enlarge">
    <w:name w:val="enlarge"/>
    <w:basedOn w:val="VarsaylanParagrafYazTipi"/>
    <w:rsid w:val="0045530E"/>
  </w:style>
  <w:style w:type="character" w:styleId="Gl">
    <w:name w:val="Strong"/>
    <w:basedOn w:val="VarsaylanParagrafYazTipi"/>
    <w:uiPriority w:val="22"/>
    <w:qFormat/>
    <w:rsid w:val="0045530E"/>
    <w:rPr>
      <w:b/>
      <w:bCs/>
    </w:rPr>
  </w:style>
  <w:style w:type="character" w:customStyle="1" w:styleId="orangetext">
    <w:name w:val="orangetext"/>
    <w:basedOn w:val="VarsaylanParagrafYazTipi"/>
    <w:rsid w:val="0045530E"/>
  </w:style>
  <w:style w:type="paragraph" w:customStyle="1" w:styleId="date">
    <w:name w:val="date"/>
    <w:basedOn w:val="Normal"/>
    <w:rsid w:val="0045530E"/>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orangetext1">
    <w:name w:val="orangetext1"/>
    <w:basedOn w:val="Normal"/>
    <w:rsid w:val="0045530E"/>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NormalWeb">
    <w:name w:val="Normal (Web)"/>
    <w:basedOn w:val="Normal"/>
    <w:uiPriority w:val="99"/>
    <w:unhideWhenUsed/>
    <w:rsid w:val="0045530E"/>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first">
    <w:name w:val="first"/>
    <w:basedOn w:val="Normal"/>
    <w:rsid w:val="0045530E"/>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old">
    <w:name w:val="bold"/>
    <w:basedOn w:val="VarsaylanParagrafYazTipi"/>
    <w:rsid w:val="0045530E"/>
  </w:style>
  <w:style w:type="character" w:customStyle="1" w:styleId="underline">
    <w:name w:val="underline"/>
    <w:basedOn w:val="VarsaylanParagrafYazTipi"/>
    <w:rsid w:val="0045530E"/>
  </w:style>
  <w:style w:type="character" w:customStyle="1" w:styleId="close-toggle">
    <w:name w:val="close-toggle"/>
    <w:basedOn w:val="VarsaylanParagrafYazTipi"/>
    <w:rsid w:val="0045530E"/>
  </w:style>
  <w:style w:type="character" w:customStyle="1" w:styleId="italics">
    <w:name w:val="italics"/>
    <w:basedOn w:val="VarsaylanParagrafYazTipi"/>
    <w:rsid w:val="0045530E"/>
  </w:style>
  <w:style w:type="paragraph" w:customStyle="1" w:styleId="highlighta">
    <w:name w:val="highlighta"/>
    <w:basedOn w:val="Normal"/>
    <w:rsid w:val="0045530E"/>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highlightsseereference">
    <w:name w:val="highlightsseereference"/>
    <w:basedOn w:val="Normal"/>
    <w:rsid w:val="0045530E"/>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highlightsrevision">
    <w:name w:val="highlightsrevision"/>
    <w:basedOn w:val="Normal"/>
    <w:rsid w:val="0045530E"/>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sub">
    <w:name w:val="sub"/>
    <w:basedOn w:val="VarsaylanParagrafYazTipi"/>
    <w:rsid w:val="0045530E"/>
  </w:style>
  <w:style w:type="character" w:customStyle="1" w:styleId="sup">
    <w:name w:val="sup"/>
    <w:basedOn w:val="VarsaylanParagrafYazTipi"/>
    <w:rsid w:val="0045530E"/>
  </w:style>
  <w:style w:type="character" w:customStyle="1" w:styleId="contenttablereg">
    <w:name w:val="contenttablereg"/>
    <w:basedOn w:val="VarsaylanParagrafYazTipi"/>
    <w:rsid w:val="0045530E"/>
  </w:style>
  <w:style w:type="character" w:customStyle="1" w:styleId="formheadingtitle">
    <w:name w:val="formheadingtitle"/>
    <w:basedOn w:val="VarsaylanParagrafYazTipi"/>
    <w:rsid w:val="0045530E"/>
  </w:style>
  <w:style w:type="paragraph" w:styleId="BalonMetni">
    <w:name w:val="Balloon Text"/>
    <w:basedOn w:val="Normal"/>
    <w:link w:val="BalonMetniChar"/>
    <w:uiPriority w:val="99"/>
    <w:semiHidden/>
    <w:unhideWhenUsed/>
    <w:rsid w:val="0045530E"/>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45530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53490281">
      <w:bodyDiv w:val="1"/>
      <w:marLeft w:val="0"/>
      <w:marRight w:val="0"/>
      <w:marTop w:val="0"/>
      <w:marBottom w:val="0"/>
      <w:divBdr>
        <w:top w:val="none" w:sz="0" w:space="0" w:color="auto"/>
        <w:left w:val="none" w:sz="0" w:space="0" w:color="auto"/>
        <w:bottom w:val="none" w:sz="0" w:space="0" w:color="auto"/>
        <w:right w:val="none" w:sz="0" w:space="0" w:color="auto"/>
      </w:divBdr>
      <w:divsChild>
        <w:div w:id="986279206">
          <w:marLeft w:val="0"/>
          <w:marRight w:val="0"/>
          <w:marTop w:val="0"/>
          <w:marBottom w:val="300"/>
          <w:divBdr>
            <w:top w:val="none" w:sz="0" w:space="0" w:color="auto"/>
            <w:left w:val="none" w:sz="0" w:space="0" w:color="auto"/>
            <w:bottom w:val="none" w:sz="0" w:space="0" w:color="auto"/>
            <w:right w:val="none" w:sz="0" w:space="0" w:color="auto"/>
          </w:divBdr>
          <w:divsChild>
            <w:div w:id="1783719828">
              <w:marLeft w:val="0"/>
              <w:marRight w:val="0"/>
              <w:marTop w:val="0"/>
              <w:marBottom w:val="0"/>
              <w:divBdr>
                <w:top w:val="none" w:sz="0" w:space="0" w:color="auto"/>
                <w:left w:val="none" w:sz="0" w:space="0" w:color="auto"/>
                <w:bottom w:val="dashed" w:sz="6" w:space="2" w:color="000000"/>
                <w:right w:val="none" w:sz="0" w:space="0" w:color="auto"/>
              </w:divBdr>
            </w:div>
            <w:div w:id="602080575">
              <w:marLeft w:val="0"/>
              <w:marRight w:val="0"/>
              <w:marTop w:val="0"/>
              <w:marBottom w:val="0"/>
              <w:divBdr>
                <w:top w:val="none" w:sz="0" w:space="0" w:color="auto"/>
                <w:left w:val="none" w:sz="0" w:space="0" w:color="auto"/>
                <w:bottom w:val="none" w:sz="0" w:space="0" w:color="auto"/>
                <w:right w:val="none" w:sz="0" w:space="0" w:color="auto"/>
              </w:divBdr>
            </w:div>
          </w:divsChild>
        </w:div>
        <w:div w:id="582615596">
          <w:marLeft w:val="150"/>
          <w:marRight w:val="150"/>
          <w:marTop w:val="0"/>
          <w:marBottom w:val="0"/>
          <w:divBdr>
            <w:top w:val="none" w:sz="0" w:space="0" w:color="auto"/>
            <w:left w:val="none" w:sz="0" w:space="0" w:color="auto"/>
            <w:bottom w:val="none" w:sz="0" w:space="0" w:color="auto"/>
            <w:right w:val="none" w:sz="0" w:space="0" w:color="auto"/>
          </w:divBdr>
          <w:divsChild>
            <w:div w:id="1491097045">
              <w:marLeft w:val="0"/>
              <w:marRight w:val="0"/>
              <w:marTop w:val="0"/>
              <w:marBottom w:val="0"/>
              <w:divBdr>
                <w:top w:val="none" w:sz="0" w:space="0" w:color="auto"/>
                <w:left w:val="none" w:sz="0" w:space="0" w:color="auto"/>
                <w:bottom w:val="none" w:sz="0" w:space="0" w:color="auto"/>
                <w:right w:val="none" w:sz="0" w:space="0" w:color="auto"/>
              </w:divBdr>
              <w:divsChild>
                <w:div w:id="1473595097">
                  <w:marLeft w:val="0"/>
                  <w:marRight w:val="0"/>
                  <w:marTop w:val="0"/>
                  <w:marBottom w:val="0"/>
                  <w:divBdr>
                    <w:top w:val="none" w:sz="0" w:space="0" w:color="auto"/>
                    <w:left w:val="none" w:sz="0" w:space="0" w:color="auto"/>
                    <w:bottom w:val="none" w:sz="0" w:space="0" w:color="auto"/>
                    <w:right w:val="none" w:sz="0" w:space="0" w:color="auto"/>
                  </w:divBdr>
                </w:div>
                <w:div w:id="108353081">
                  <w:marLeft w:val="0"/>
                  <w:marRight w:val="0"/>
                  <w:marTop w:val="0"/>
                  <w:marBottom w:val="0"/>
                  <w:divBdr>
                    <w:top w:val="none" w:sz="0" w:space="0" w:color="auto"/>
                    <w:left w:val="none" w:sz="0" w:space="0" w:color="auto"/>
                    <w:bottom w:val="none" w:sz="0" w:space="0" w:color="auto"/>
                    <w:right w:val="none" w:sz="0" w:space="0" w:color="auto"/>
                  </w:divBdr>
                  <w:divsChild>
                    <w:div w:id="59914784">
                      <w:marLeft w:val="0"/>
                      <w:marRight w:val="0"/>
                      <w:marTop w:val="0"/>
                      <w:marBottom w:val="0"/>
                      <w:divBdr>
                        <w:top w:val="single" w:sz="6" w:space="4" w:color="000000"/>
                        <w:left w:val="single" w:sz="6" w:space="4" w:color="000000"/>
                        <w:bottom w:val="single" w:sz="6" w:space="4" w:color="000000"/>
                        <w:right w:val="single" w:sz="6" w:space="4" w:color="000000"/>
                      </w:divBdr>
                    </w:div>
                  </w:divsChild>
                </w:div>
              </w:divsChild>
            </w:div>
            <w:div w:id="1068041107">
              <w:marLeft w:val="0"/>
              <w:marRight w:val="0"/>
              <w:marTop w:val="0"/>
              <w:marBottom w:val="0"/>
              <w:divBdr>
                <w:top w:val="none" w:sz="0" w:space="0" w:color="auto"/>
                <w:left w:val="none" w:sz="0" w:space="0" w:color="auto"/>
                <w:bottom w:val="none" w:sz="0" w:space="0" w:color="auto"/>
                <w:right w:val="none" w:sz="0" w:space="0" w:color="auto"/>
              </w:divBdr>
              <w:divsChild>
                <w:div w:id="1026251153">
                  <w:marLeft w:val="-225"/>
                  <w:marRight w:val="0"/>
                  <w:marTop w:val="225"/>
                  <w:marBottom w:val="300"/>
                  <w:divBdr>
                    <w:top w:val="single" w:sz="6" w:space="0" w:color="F89025"/>
                    <w:left w:val="none" w:sz="0" w:space="0" w:color="F89025"/>
                    <w:bottom w:val="single" w:sz="6" w:space="0" w:color="F89025"/>
                    <w:right w:val="single" w:sz="6" w:space="0" w:color="F89025"/>
                  </w:divBdr>
                </w:div>
                <w:div w:id="1440948549">
                  <w:marLeft w:val="-225"/>
                  <w:marRight w:val="0"/>
                  <w:marTop w:val="225"/>
                  <w:marBottom w:val="300"/>
                  <w:divBdr>
                    <w:top w:val="single" w:sz="6" w:space="0" w:color="3899CC"/>
                    <w:left w:val="none" w:sz="0" w:space="0" w:color="auto"/>
                    <w:bottom w:val="single" w:sz="6" w:space="0" w:color="3899CC"/>
                    <w:right w:val="single" w:sz="6" w:space="0" w:color="3899CC"/>
                  </w:divBdr>
                </w:div>
                <w:div w:id="657075391">
                  <w:marLeft w:val="-225"/>
                  <w:marRight w:val="0"/>
                  <w:marTop w:val="225"/>
                  <w:marBottom w:val="300"/>
                  <w:divBdr>
                    <w:top w:val="single" w:sz="6" w:space="0" w:color="3899CC"/>
                    <w:left w:val="none" w:sz="0" w:space="0" w:color="auto"/>
                    <w:bottom w:val="single" w:sz="6" w:space="0" w:color="3899CC"/>
                    <w:right w:val="single" w:sz="6" w:space="0" w:color="3899CC"/>
                  </w:divBdr>
                </w:div>
              </w:divsChild>
            </w:div>
          </w:divsChild>
        </w:div>
        <w:div w:id="618267144">
          <w:marLeft w:val="0"/>
          <w:marRight w:val="0"/>
          <w:marTop w:val="0"/>
          <w:marBottom w:val="0"/>
          <w:divBdr>
            <w:top w:val="none" w:sz="0" w:space="0" w:color="auto"/>
            <w:left w:val="single" w:sz="6" w:space="15" w:color="3899CC"/>
            <w:bottom w:val="none" w:sz="0" w:space="0" w:color="auto"/>
            <w:right w:val="none" w:sz="0" w:space="0" w:color="auto"/>
          </w:divBdr>
          <w:divsChild>
            <w:div w:id="1344286090">
              <w:marLeft w:val="0"/>
              <w:marRight w:val="0"/>
              <w:marTop w:val="0"/>
              <w:marBottom w:val="0"/>
              <w:divBdr>
                <w:top w:val="none" w:sz="0" w:space="0" w:color="auto"/>
                <w:left w:val="none" w:sz="0" w:space="0" w:color="auto"/>
                <w:bottom w:val="none" w:sz="0" w:space="0" w:color="auto"/>
                <w:right w:val="none" w:sz="0" w:space="0" w:color="auto"/>
              </w:divBdr>
              <w:divsChild>
                <w:div w:id="1707294343">
                  <w:marLeft w:val="0"/>
                  <w:marRight w:val="0"/>
                  <w:marTop w:val="0"/>
                  <w:marBottom w:val="300"/>
                  <w:divBdr>
                    <w:top w:val="dashed" w:sz="6" w:space="8" w:color="333333"/>
                    <w:left w:val="none" w:sz="0" w:space="0" w:color="auto"/>
                    <w:bottom w:val="none" w:sz="0" w:space="0" w:color="auto"/>
                    <w:right w:val="none" w:sz="0" w:space="0" w:color="auto"/>
                  </w:divBdr>
                  <w:divsChild>
                    <w:div w:id="457574523">
                      <w:marLeft w:val="0"/>
                      <w:marRight w:val="0"/>
                      <w:marTop w:val="0"/>
                      <w:marBottom w:val="0"/>
                      <w:divBdr>
                        <w:top w:val="none" w:sz="0" w:space="0" w:color="auto"/>
                        <w:left w:val="none" w:sz="0" w:space="0" w:color="auto"/>
                        <w:bottom w:val="none" w:sz="0" w:space="0" w:color="auto"/>
                        <w:right w:val="none" w:sz="0" w:space="0" w:color="auto"/>
                      </w:divBdr>
                    </w:div>
                    <w:div w:id="320039377">
                      <w:marLeft w:val="450"/>
                      <w:marRight w:val="0"/>
                      <w:marTop w:val="150"/>
                      <w:marBottom w:val="150"/>
                      <w:divBdr>
                        <w:top w:val="single" w:sz="12" w:space="4" w:color="000000"/>
                        <w:left w:val="single" w:sz="12" w:space="4" w:color="000000"/>
                        <w:bottom w:val="single" w:sz="12" w:space="4" w:color="000000"/>
                        <w:right w:val="single" w:sz="12" w:space="4" w:color="000000"/>
                      </w:divBdr>
                    </w:div>
                    <w:div w:id="962226842">
                      <w:marLeft w:val="450"/>
                      <w:marRight w:val="0"/>
                      <w:marTop w:val="0"/>
                      <w:marBottom w:val="75"/>
                      <w:divBdr>
                        <w:top w:val="none" w:sz="0" w:space="0" w:color="auto"/>
                        <w:left w:val="none" w:sz="0" w:space="0" w:color="auto"/>
                        <w:bottom w:val="none" w:sz="0" w:space="0" w:color="auto"/>
                        <w:right w:val="none" w:sz="0" w:space="0" w:color="auto"/>
                      </w:divBdr>
                      <w:divsChild>
                        <w:div w:id="382414678">
                          <w:marLeft w:val="0"/>
                          <w:marRight w:val="0"/>
                          <w:marTop w:val="0"/>
                          <w:marBottom w:val="0"/>
                          <w:divBdr>
                            <w:top w:val="none" w:sz="0" w:space="0" w:color="auto"/>
                            <w:left w:val="none" w:sz="0" w:space="0" w:color="auto"/>
                            <w:bottom w:val="none" w:sz="0" w:space="0" w:color="auto"/>
                            <w:right w:val="none" w:sz="0" w:space="0" w:color="auto"/>
                          </w:divBdr>
                        </w:div>
                        <w:div w:id="1009478480">
                          <w:marLeft w:val="0"/>
                          <w:marRight w:val="0"/>
                          <w:marTop w:val="150"/>
                          <w:marBottom w:val="150"/>
                          <w:divBdr>
                            <w:top w:val="single" w:sz="12" w:space="4" w:color="000000"/>
                            <w:left w:val="single" w:sz="12" w:space="4" w:color="000000"/>
                            <w:bottom w:val="single" w:sz="12" w:space="4" w:color="000000"/>
                            <w:right w:val="single" w:sz="12" w:space="4" w:color="000000"/>
                          </w:divBdr>
                          <w:divsChild>
                            <w:div w:id="159319282">
                              <w:marLeft w:val="0"/>
                              <w:marRight w:val="0"/>
                              <w:marTop w:val="0"/>
                              <w:marBottom w:val="0"/>
                              <w:divBdr>
                                <w:top w:val="none" w:sz="0" w:space="0" w:color="auto"/>
                                <w:left w:val="none" w:sz="0" w:space="0" w:color="auto"/>
                                <w:bottom w:val="none" w:sz="0" w:space="0" w:color="auto"/>
                                <w:right w:val="none" w:sz="0" w:space="0" w:color="auto"/>
                              </w:divBdr>
                            </w:div>
                          </w:divsChild>
                        </w:div>
                        <w:div w:id="1936280317">
                          <w:marLeft w:val="0"/>
                          <w:marRight w:val="0"/>
                          <w:marTop w:val="0"/>
                          <w:marBottom w:val="0"/>
                          <w:divBdr>
                            <w:top w:val="none" w:sz="0" w:space="0" w:color="auto"/>
                            <w:left w:val="none" w:sz="0" w:space="0" w:color="auto"/>
                            <w:bottom w:val="none" w:sz="0" w:space="0" w:color="auto"/>
                            <w:right w:val="none" w:sz="0" w:space="0" w:color="auto"/>
                          </w:divBdr>
                          <w:divsChild>
                            <w:div w:id="129446114">
                              <w:marLeft w:val="0"/>
                              <w:marRight w:val="0"/>
                              <w:marTop w:val="0"/>
                              <w:marBottom w:val="0"/>
                              <w:divBdr>
                                <w:top w:val="none" w:sz="0" w:space="0" w:color="auto"/>
                                <w:left w:val="none" w:sz="0" w:space="0" w:color="auto"/>
                                <w:bottom w:val="none" w:sz="0" w:space="0" w:color="auto"/>
                                <w:right w:val="none" w:sz="0" w:space="0" w:color="auto"/>
                              </w:divBdr>
                            </w:div>
                          </w:divsChild>
                        </w:div>
                        <w:div w:id="1466124177">
                          <w:marLeft w:val="0"/>
                          <w:marRight w:val="0"/>
                          <w:marTop w:val="0"/>
                          <w:marBottom w:val="0"/>
                          <w:divBdr>
                            <w:top w:val="none" w:sz="0" w:space="0" w:color="auto"/>
                            <w:left w:val="none" w:sz="0" w:space="0" w:color="auto"/>
                            <w:bottom w:val="none" w:sz="0" w:space="0" w:color="auto"/>
                            <w:right w:val="none" w:sz="0" w:space="0" w:color="auto"/>
                          </w:divBdr>
                          <w:divsChild>
                            <w:div w:id="1572227203">
                              <w:marLeft w:val="0"/>
                              <w:marRight w:val="0"/>
                              <w:marTop w:val="0"/>
                              <w:marBottom w:val="0"/>
                              <w:divBdr>
                                <w:top w:val="none" w:sz="0" w:space="0" w:color="auto"/>
                                <w:left w:val="none" w:sz="0" w:space="0" w:color="auto"/>
                                <w:bottom w:val="none" w:sz="0" w:space="0" w:color="auto"/>
                                <w:right w:val="none" w:sz="0" w:space="0" w:color="auto"/>
                              </w:divBdr>
                            </w:div>
                          </w:divsChild>
                        </w:div>
                        <w:div w:id="1494026904">
                          <w:marLeft w:val="0"/>
                          <w:marRight w:val="0"/>
                          <w:marTop w:val="0"/>
                          <w:marBottom w:val="0"/>
                          <w:divBdr>
                            <w:top w:val="none" w:sz="0" w:space="0" w:color="auto"/>
                            <w:left w:val="none" w:sz="0" w:space="0" w:color="auto"/>
                            <w:bottom w:val="none" w:sz="0" w:space="0" w:color="auto"/>
                            <w:right w:val="none" w:sz="0" w:space="0" w:color="auto"/>
                          </w:divBdr>
                          <w:divsChild>
                            <w:div w:id="700712669">
                              <w:marLeft w:val="0"/>
                              <w:marRight w:val="0"/>
                              <w:marTop w:val="0"/>
                              <w:marBottom w:val="0"/>
                              <w:divBdr>
                                <w:top w:val="none" w:sz="0" w:space="0" w:color="auto"/>
                                <w:left w:val="none" w:sz="0" w:space="0" w:color="auto"/>
                                <w:bottom w:val="none" w:sz="0" w:space="0" w:color="auto"/>
                                <w:right w:val="none" w:sz="0" w:space="0" w:color="auto"/>
                              </w:divBdr>
                            </w:div>
                          </w:divsChild>
                        </w:div>
                        <w:div w:id="1123037910">
                          <w:marLeft w:val="0"/>
                          <w:marRight w:val="0"/>
                          <w:marTop w:val="0"/>
                          <w:marBottom w:val="0"/>
                          <w:divBdr>
                            <w:top w:val="none" w:sz="0" w:space="0" w:color="auto"/>
                            <w:left w:val="none" w:sz="0" w:space="0" w:color="auto"/>
                            <w:bottom w:val="none" w:sz="0" w:space="0" w:color="auto"/>
                            <w:right w:val="none" w:sz="0" w:space="0" w:color="auto"/>
                          </w:divBdr>
                          <w:divsChild>
                            <w:div w:id="1759712392">
                              <w:marLeft w:val="0"/>
                              <w:marRight w:val="0"/>
                              <w:marTop w:val="0"/>
                              <w:marBottom w:val="0"/>
                              <w:divBdr>
                                <w:top w:val="none" w:sz="0" w:space="0" w:color="auto"/>
                                <w:left w:val="none" w:sz="0" w:space="0" w:color="auto"/>
                                <w:bottom w:val="none" w:sz="0" w:space="0" w:color="auto"/>
                                <w:right w:val="none" w:sz="0" w:space="0" w:color="auto"/>
                              </w:divBdr>
                            </w:div>
                          </w:divsChild>
                        </w:div>
                        <w:div w:id="1986624181">
                          <w:marLeft w:val="0"/>
                          <w:marRight w:val="0"/>
                          <w:marTop w:val="0"/>
                          <w:marBottom w:val="0"/>
                          <w:divBdr>
                            <w:top w:val="none" w:sz="0" w:space="0" w:color="auto"/>
                            <w:left w:val="none" w:sz="0" w:space="0" w:color="auto"/>
                            <w:bottom w:val="none" w:sz="0" w:space="0" w:color="auto"/>
                            <w:right w:val="none" w:sz="0" w:space="0" w:color="auto"/>
                          </w:divBdr>
                          <w:divsChild>
                            <w:div w:id="1372028163">
                              <w:marLeft w:val="0"/>
                              <w:marRight w:val="0"/>
                              <w:marTop w:val="0"/>
                              <w:marBottom w:val="0"/>
                              <w:divBdr>
                                <w:top w:val="none" w:sz="0" w:space="0" w:color="auto"/>
                                <w:left w:val="none" w:sz="0" w:space="0" w:color="auto"/>
                                <w:bottom w:val="none" w:sz="0" w:space="0" w:color="auto"/>
                                <w:right w:val="none" w:sz="0" w:space="0" w:color="auto"/>
                              </w:divBdr>
                            </w:div>
                          </w:divsChild>
                        </w:div>
                        <w:div w:id="874267047">
                          <w:marLeft w:val="0"/>
                          <w:marRight w:val="0"/>
                          <w:marTop w:val="0"/>
                          <w:marBottom w:val="0"/>
                          <w:divBdr>
                            <w:top w:val="none" w:sz="0" w:space="0" w:color="auto"/>
                            <w:left w:val="none" w:sz="0" w:space="0" w:color="auto"/>
                            <w:bottom w:val="none" w:sz="0" w:space="0" w:color="auto"/>
                            <w:right w:val="none" w:sz="0" w:space="0" w:color="auto"/>
                          </w:divBdr>
                          <w:divsChild>
                            <w:div w:id="695429966">
                              <w:marLeft w:val="0"/>
                              <w:marRight w:val="0"/>
                              <w:marTop w:val="0"/>
                              <w:marBottom w:val="0"/>
                              <w:divBdr>
                                <w:top w:val="none" w:sz="0" w:space="0" w:color="auto"/>
                                <w:left w:val="none" w:sz="0" w:space="0" w:color="auto"/>
                                <w:bottom w:val="none" w:sz="0" w:space="0" w:color="auto"/>
                                <w:right w:val="none" w:sz="0" w:space="0" w:color="auto"/>
                              </w:divBdr>
                            </w:div>
                          </w:divsChild>
                        </w:div>
                        <w:div w:id="774714610">
                          <w:marLeft w:val="0"/>
                          <w:marRight w:val="0"/>
                          <w:marTop w:val="0"/>
                          <w:marBottom w:val="0"/>
                          <w:divBdr>
                            <w:top w:val="none" w:sz="0" w:space="0" w:color="auto"/>
                            <w:left w:val="none" w:sz="0" w:space="0" w:color="auto"/>
                            <w:bottom w:val="none" w:sz="0" w:space="0" w:color="auto"/>
                            <w:right w:val="none" w:sz="0" w:space="0" w:color="auto"/>
                          </w:divBdr>
                          <w:divsChild>
                            <w:div w:id="1372026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8249258">
                      <w:marLeft w:val="450"/>
                      <w:marRight w:val="0"/>
                      <w:marTop w:val="0"/>
                      <w:marBottom w:val="75"/>
                      <w:divBdr>
                        <w:top w:val="single" w:sz="18" w:space="15" w:color="C7E2F1"/>
                        <w:left w:val="single" w:sz="18" w:space="15" w:color="C7E2F1"/>
                        <w:bottom w:val="single" w:sz="18" w:space="15" w:color="C7E2F1"/>
                        <w:right w:val="single" w:sz="18" w:space="15" w:color="C7E2F1"/>
                      </w:divBdr>
                    </w:div>
                    <w:div w:id="458770286">
                      <w:marLeft w:val="450"/>
                      <w:marRight w:val="0"/>
                      <w:marTop w:val="0"/>
                      <w:marBottom w:val="75"/>
                      <w:divBdr>
                        <w:top w:val="none" w:sz="0" w:space="0" w:color="auto"/>
                        <w:left w:val="none" w:sz="0" w:space="0" w:color="auto"/>
                        <w:bottom w:val="none" w:sz="0" w:space="0" w:color="auto"/>
                        <w:right w:val="none" w:sz="0" w:space="0" w:color="auto"/>
                      </w:divBdr>
                      <w:divsChild>
                        <w:div w:id="509638937">
                          <w:marLeft w:val="0"/>
                          <w:marRight w:val="0"/>
                          <w:marTop w:val="0"/>
                          <w:marBottom w:val="0"/>
                          <w:divBdr>
                            <w:top w:val="none" w:sz="0" w:space="0" w:color="auto"/>
                            <w:left w:val="none" w:sz="0" w:space="0" w:color="auto"/>
                            <w:bottom w:val="none" w:sz="0" w:space="0" w:color="auto"/>
                            <w:right w:val="none" w:sz="0" w:space="0" w:color="auto"/>
                          </w:divBdr>
                        </w:div>
                        <w:div w:id="1296447956">
                          <w:marLeft w:val="0"/>
                          <w:marRight w:val="0"/>
                          <w:marTop w:val="0"/>
                          <w:marBottom w:val="0"/>
                          <w:divBdr>
                            <w:top w:val="none" w:sz="0" w:space="0" w:color="auto"/>
                            <w:left w:val="none" w:sz="0" w:space="0" w:color="auto"/>
                            <w:bottom w:val="none" w:sz="0" w:space="0" w:color="auto"/>
                            <w:right w:val="none" w:sz="0" w:space="0" w:color="auto"/>
                          </w:divBdr>
                        </w:div>
                        <w:div w:id="511989673">
                          <w:marLeft w:val="0"/>
                          <w:marRight w:val="0"/>
                          <w:marTop w:val="0"/>
                          <w:marBottom w:val="0"/>
                          <w:divBdr>
                            <w:top w:val="none" w:sz="0" w:space="0" w:color="auto"/>
                            <w:left w:val="none" w:sz="0" w:space="0" w:color="auto"/>
                            <w:bottom w:val="none" w:sz="0" w:space="0" w:color="auto"/>
                            <w:right w:val="none" w:sz="0" w:space="0" w:color="auto"/>
                          </w:divBdr>
                        </w:div>
                        <w:div w:id="413166021">
                          <w:marLeft w:val="0"/>
                          <w:marRight w:val="0"/>
                          <w:marTop w:val="0"/>
                          <w:marBottom w:val="0"/>
                          <w:divBdr>
                            <w:top w:val="none" w:sz="0" w:space="0" w:color="auto"/>
                            <w:left w:val="none" w:sz="0" w:space="0" w:color="auto"/>
                            <w:bottom w:val="none" w:sz="0" w:space="0" w:color="auto"/>
                            <w:right w:val="none" w:sz="0" w:space="0" w:color="auto"/>
                          </w:divBdr>
                        </w:div>
                        <w:div w:id="1479148643">
                          <w:marLeft w:val="0"/>
                          <w:marRight w:val="0"/>
                          <w:marTop w:val="0"/>
                          <w:marBottom w:val="0"/>
                          <w:divBdr>
                            <w:top w:val="none" w:sz="0" w:space="0" w:color="auto"/>
                            <w:left w:val="none" w:sz="0" w:space="0" w:color="auto"/>
                            <w:bottom w:val="none" w:sz="0" w:space="0" w:color="auto"/>
                            <w:right w:val="none" w:sz="0" w:space="0" w:color="auto"/>
                          </w:divBdr>
                        </w:div>
                        <w:div w:id="1694064791">
                          <w:marLeft w:val="0"/>
                          <w:marRight w:val="0"/>
                          <w:marTop w:val="0"/>
                          <w:marBottom w:val="0"/>
                          <w:divBdr>
                            <w:top w:val="none" w:sz="0" w:space="0" w:color="auto"/>
                            <w:left w:val="none" w:sz="0" w:space="0" w:color="auto"/>
                            <w:bottom w:val="none" w:sz="0" w:space="0" w:color="auto"/>
                            <w:right w:val="none" w:sz="0" w:space="0" w:color="auto"/>
                          </w:divBdr>
                        </w:div>
                      </w:divsChild>
                    </w:div>
                    <w:div w:id="392849089">
                      <w:marLeft w:val="450"/>
                      <w:marRight w:val="0"/>
                      <w:marTop w:val="0"/>
                      <w:marBottom w:val="75"/>
                      <w:divBdr>
                        <w:top w:val="none" w:sz="0" w:space="0" w:color="auto"/>
                        <w:left w:val="none" w:sz="0" w:space="0" w:color="auto"/>
                        <w:bottom w:val="none" w:sz="0" w:space="0" w:color="auto"/>
                        <w:right w:val="none" w:sz="0" w:space="0" w:color="auto"/>
                      </w:divBdr>
                      <w:divsChild>
                        <w:div w:id="1475830967">
                          <w:marLeft w:val="0"/>
                          <w:marRight w:val="0"/>
                          <w:marTop w:val="0"/>
                          <w:marBottom w:val="0"/>
                          <w:divBdr>
                            <w:top w:val="none" w:sz="0" w:space="0" w:color="auto"/>
                            <w:left w:val="none" w:sz="0" w:space="0" w:color="auto"/>
                            <w:bottom w:val="none" w:sz="0" w:space="0" w:color="auto"/>
                            <w:right w:val="none" w:sz="0" w:space="0" w:color="auto"/>
                          </w:divBdr>
                        </w:div>
                        <w:div w:id="1739087693">
                          <w:marLeft w:val="0"/>
                          <w:marRight w:val="0"/>
                          <w:marTop w:val="0"/>
                          <w:marBottom w:val="0"/>
                          <w:divBdr>
                            <w:top w:val="none" w:sz="0" w:space="0" w:color="auto"/>
                            <w:left w:val="none" w:sz="0" w:space="0" w:color="auto"/>
                            <w:bottom w:val="none" w:sz="0" w:space="0" w:color="auto"/>
                            <w:right w:val="none" w:sz="0" w:space="0" w:color="auto"/>
                          </w:divBdr>
                        </w:div>
                        <w:div w:id="838083781">
                          <w:marLeft w:val="0"/>
                          <w:marRight w:val="0"/>
                          <w:marTop w:val="0"/>
                          <w:marBottom w:val="0"/>
                          <w:divBdr>
                            <w:top w:val="none" w:sz="0" w:space="0" w:color="auto"/>
                            <w:left w:val="none" w:sz="0" w:space="0" w:color="auto"/>
                            <w:bottom w:val="none" w:sz="0" w:space="0" w:color="auto"/>
                            <w:right w:val="none" w:sz="0" w:space="0" w:color="auto"/>
                          </w:divBdr>
                        </w:div>
                        <w:div w:id="898629942">
                          <w:marLeft w:val="0"/>
                          <w:marRight w:val="0"/>
                          <w:marTop w:val="0"/>
                          <w:marBottom w:val="0"/>
                          <w:divBdr>
                            <w:top w:val="none" w:sz="0" w:space="0" w:color="auto"/>
                            <w:left w:val="none" w:sz="0" w:space="0" w:color="auto"/>
                            <w:bottom w:val="none" w:sz="0" w:space="0" w:color="auto"/>
                            <w:right w:val="none" w:sz="0" w:space="0" w:color="auto"/>
                          </w:divBdr>
                        </w:div>
                        <w:div w:id="127090940">
                          <w:marLeft w:val="0"/>
                          <w:marRight w:val="0"/>
                          <w:marTop w:val="0"/>
                          <w:marBottom w:val="0"/>
                          <w:divBdr>
                            <w:top w:val="none" w:sz="0" w:space="0" w:color="auto"/>
                            <w:left w:val="none" w:sz="0" w:space="0" w:color="auto"/>
                            <w:bottom w:val="none" w:sz="0" w:space="0" w:color="auto"/>
                            <w:right w:val="none" w:sz="0" w:space="0" w:color="auto"/>
                          </w:divBdr>
                        </w:div>
                        <w:div w:id="752355903">
                          <w:marLeft w:val="0"/>
                          <w:marRight w:val="0"/>
                          <w:marTop w:val="0"/>
                          <w:marBottom w:val="0"/>
                          <w:divBdr>
                            <w:top w:val="none" w:sz="0" w:space="0" w:color="auto"/>
                            <w:left w:val="none" w:sz="0" w:space="0" w:color="auto"/>
                            <w:bottom w:val="none" w:sz="0" w:space="0" w:color="auto"/>
                            <w:right w:val="none" w:sz="0" w:space="0" w:color="auto"/>
                          </w:divBdr>
                        </w:div>
                      </w:divsChild>
                    </w:div>
                    <w:div w:id="395710875">
                      <w:marLeft w:val="450"/>
                      <w:marRight w:val="0"/>
                      <w:marTop w:val="0"/>
                      <w:marBottom w:val="75"/>
                      <w:divBdr>
                        <w:top w:val="none" w:sz="0" w:space="0" w:color="auto"/>
                        <w:left w:val="none" w:sz="0" w:space="0" w:color="auto"/>
                        <w:bottom w:val="none" w:sz="0" w:space="0" w:color="auto"/>
                        <w:right w:val="none" w:sz="0" w:space="0" w:color="auto"/>
                      </w:divBdr>
                    </w:div>
                    <w:div w:id="2031448657">
                      <w:marLeft w:val="450"/>
                      <w:marRight w:val="0"/>
                      <w:marTop w:val="0"/>
                      <w:marBottom w:val="75"/>
                      <w:divBdr>
                        <w:top w:val="none" w:sz="0" w:space="0" w:color="auto"/>
                        <w:left w:val="none" w:sz="0" w:space="0" w:color="auto"/>
                        <w:bottom w:val="none" w:sz="0" w:space="0" w:color="auto"/>
                        <w:right w:val="none" w:sz="0" w:space="0" w:color="auto"/>
                      </w:divBdr>
                    </w:div>
                    <w:div w:id="2070300867">
                      <w:marLeft w:val="450"/>
                      <w:marRight w:val="0"/>
                      <w:marTop w:val="0"/>
                      <w:marBottom w:val="75"/>
                      <w:divBdr>
                        <w:top w:val="none" w:sz="0" w:space="0" w:color="auto"/>
                        <w:left w:val="none" w:sz="0" w:space="0" w:color="auto"/>
                        <w:bottom w:val="none" w:sz="0" w:space="0" w:color="auto"/>
                        <w:right w:val="none" w:sz="0" w:space="0" w:color="auto"/>
                      </w:divBdr>
                      <w:divsChild>
                        <w:div w:id="1080370566">
                          <w:marLeft w:val="0"/>
                          <w:marRight w:val="0"/>
                          <w:marTop w:val="0"/>
                          <w:marBottom w:val="0"/>
                          <w:divBdr>
                            <w:top w:val="none" w:sz="0" w:space="0" w:color="auto"/>
                            <w:left w:val="none" w:sz="0" w:space="0" w:color="auto"/>
                            <w:bottom w:val="none" w:sz="0" w:space="0" w:color="auto"/>
                            <w:right w:val="none" w:sz="0" w:space="0" w:color="auto"/>
                          </w:divBdr>
                        </w:div>
                        <w:div w:id="262149493">
                          <w:marLeft w:val="0"/>
                          <w:marRight w:val="0"/>
                          <w:marTop w:val="0"/>
                          <w:marBottom w:val="0"/>
                          <w:divBdr>
                            <w:top w:val="none" w:sz="0" w:space="0" w:color="auto"/>
                            <w:left w:val="none" w:sz="0" w:space="0" w:color="auto"/>
                            <w:bottom w:val="none" w:sz="0" w:space="0" w:color="auto"/>
                            <w:right w:val="none" w:sz="0" w:space="0" w:color="auto"/>
                          </w:divBdr>
                        </w:div>
                        <w:div w:id="682824233">
                          <w:marLeft w:val="0"/>
                          <w:marRight w:val="0"/>
                          <w:marTop w:val="0"/>
                          <w:marBottom w:val="0"/>
                          <w:divBdr>
                            <w:top w:val="none" w:sz="0" w:space="0" w:color="auto"/>
                            <w:left w:val="none" w:sz="0" w:space="0" w:color="auto"/>
                            <w:bottom w:val="none" w:sz="0" w:space="0" w:color="auto"/>
                            <w:right w:val="none" w:sz="0" w:space="0" w:color="auto"/>
                          </w:divBdr>
                        </w:div>
                        <w:div w:id="788203265">
                          <w:marLeft w:val="0"/>
                          <w:marRight w:val="0"/>
                          <w:marTop w:val="0"/>
                          <w:marBottom w:val="0"/>
                          <w:divBdr>
                            <w:top w:val="none" w:sz="0" w:space="0" w:color="auto"/>
                            <w:left w:val="none" w:sz="0" w:space="0" w:color="auto"/>
                            <w:bottom w:val="none" w:sz="0" w:space="0" w:color="auto"/>
                            <w:right w:val="none" w:sz="0" w:space="0" w:color="auto"/>
                          </w:divBdr>
                        </w:div>
                        <w:div w:id="1069041282">
                          <w:marLeft w:val="0"/>
                          <w:marRight w:val="0"/>
                          <w:marTop w:val="0"/>
                          <w:marBottom w:val="0"/>
                          <w:divBdr>
                            <w:top w:val="none" w:sz="0" w:space="0" w:color="auto"/>
                            <w:left w:val="none" w:sz="0" w:space="0" w:color="auto"/>
                            <w:bottom w:val="none" w:sz="0" w:space="0" w:color="auto"/>
                            <w:right w:val="none" w:sz="0" w:space="0" w:color="auto"/>
                          </w:divBdr>
                        </w:div>
                        <w:div w:id="110711387">
                          <w:marLeft w:val="0"/>
                          <w:marRight w:val="0"/>
                          <w:marTop w:val="0"/>
                          <w:marBottom w:val="0"/>
                          <w:divBdr>
                            <w:top w:val="none" w:sz="0" w:space="0" w:color="auto"/>
                            <w:left w:val="none" w:sz="0" w:space="0" w:color="auto"/>
                            <w:bottom w:val="none" w:sz="0" w:space="0" w:color="auto"/>
                            <w:right w:val="none" w:sz="0" w:space="0" w:color="auto"/>
                          </w:divBdr>
                        </w:div>
                        <w:div w:id="296498836">
                          <w:marLeft w:val="0"/>
                          <w:marRight w:val="0"/>
                          <w:marTop w:val="0"/>
                          <w:marBottom w:val="0"/>
                          <w:divBdr>
                            <w:top w:val="none" w:sz="0" w:space="0" w:color="auto"/>
                            <w:left w:val="none" w:sz="0" w:space="0" w:color="auto"/>
                            <w:bottom w:val="none" w:sz="0" w:space="0" w:color="auto"/>
                            <w:right w:val="none" w:sz="0" w:space="0" w:color="auto"/>
                          </w:divBdr>
                        </w:div>
                        <w:div w:id="1370840298">
                          <w:marLeft w:val="0"/>
                          <w:marRight w:val="0"/>
                          <w:marTop w:val="0"/>
                          <w:marBottom w:val="0"/>
                          <w:divBdr>
                            <w:top w:val="none" w:sz="0" w:space="0" w:color="auto"/>
                            <w:left w:val="none" w:sz="0" w:space="0" w:color="auto"/>
                            <w:bottom w:val="none" w:sz="0" w:space="0" w:color="auto"/>
                            <w:right w:val="none" w:sz="0" w:space="0" w:color="auto"/>
                          </w:divBdr>
                        </w:div>
                        <w:div w:id="485436284">
                          <w:marLeft w:val="0"/>
                          <w:marRight w:val="0"/>
                          <w:marTop w:val="0"/>
                          <w:marBottom w:val="0"/>
                          <w:divBdr>
                            <w:top w:val="none" w:sz="0" w:space="0" w:color="auto"/>
                            <w:left w:val="none" w:sz="0" w:space="0" w:color="auto"/>
                            <w:bottom w:val="none" w:sz="0" w:space="0" w:color="auto"/>
                            <w:right w:val="none" w:sz="0" w:space="0" w:color="auto"/>
                          </w:divBdr>
                        </w:div>
                        <w:div w:id="1367833830">
                          <w:marLeft w:val="0"/>
                          <w:marRight w:val="0"/>
                          <w:marTop w:val="0"/>
                          <w:marBottom w:val="0"/>
                          <w:divBdr>
                            <w:top w:val="none" w:sz="0" w:space="0" w:color="auto"/>
                            <w:left w:val="none" w:sz="0" w:space="0" w:color="auto"/>
                            <w:bottom w:val="none" w:sz="0" w:space="0" w:color="auto"/>
                            <w:right w:val="none" w:sz="0" w:space="0" w:color="auto"/>
                          </w:divBdr>
                        </w:div>
                        <w:div w:id="879048936">
                          <w:marLeft w:val="0"/>
                          <w:marRight w:val="0"/>
                          <w:marTop w:val="0"/>
                          <w:marBottom w:val="0"/>
                          <w:divBdr>
                            <w:top w:val="none" w:sz="0" w:space="0" w:color="auto"/>
                            <w:left w:val="none" w:sz="0" w:space="0" w:color="auto"/>
                            <w:bottom w:val="none" w:sz="0" w:space="0" w:color="auto"/>
                            <w:right w:val="none" w:sz="0" w:space="0" w:color="auto"/>
                          </w:divBdr>
                        </w:div>
                        <w:div w:id="827788715">
                          <w:marLeft w:val="0"/>
                          <w:marRight w:val="0"/>
                          <w:marTop w:val="0"/>
                          <w:marBottom w:val="0"/>
                          <w:divBdr>
                            <w:top w:val="none" w:sz="0" w:space="0" w:color="auto"/>
                            <w:left w:val="none" w:sz="0" w:space="0" w:color="auto"/>
                            <w:bottom w:val="none" w:sz="0" w:space="0" w:color="auto"/>
                            <w:right w:val="none" w:sz="0" w:space="0" w:color="auto"/>
                          </w:divBdr>
                        </w:div>
                        <w:div w:id="1726634635">
                          <w:marLeft w:val="0"/>
                          <w:marRight w:val="0"/>
                          <w:marTop w:val="0"/>
                          <w:marBottom w:val="0"/>
                          <w:divBdr>
                            <w:top w:val="none" w:sz="0" w:space="0" w:color="auto"/>
                            <w:left w:val="none" w:sz="0" w:space="0" w:color="auto"/>
                            <w:bottom w:val="none" w:sz="0" w:space="0" w:color="auto"/>
                            <w:right w:val="none" w:sz="0" w:space="0" w:color="auto"/>
                          </w:divBdr>
                        </w:div>
                        <w:div w:id="919601792">
                          <w:marLeft w:val="0"/>
                          <w:marRight w:val="0"/>
                          <w:marTop w:val="0"/>
                          <w:marBottom w:val="0"/>
                          <w:divBdr>
                            <w:top w:val="none" w:sz="0" w:space="0" w:color="auto"/>
                            <w:left w:val="none" w:sz="0" w:space="0" w:color="auto"/>
                            <w:bottom w:val="none" w:sz="0" w:space="0" w:color="auto"/>
                            <w:right w:val="none" w:sz="0" w:space="0" w:color="auto"/>
                          </w:divBdr>
                        </w:div>
                        <w:div w:id="1611619290">
                          <w:marLeft w:val="0"/>
                          <w:marRight w:val="0"/>
                          <w:marTop w:val="0"/>
                          <w:marBottom w:val="0"/>
                          <w:divBdr>
                            <w:top w:val="none" w:sz="0" w:space="0" w:color="auto"/>
                            <w:left w:val="none" w:sz="0" w:space="0" w:color="auto"/>
                            <w:bottom w:val="none" w:sz="0" w:space="0" w:color="auto"/>
                            <w:right w:val="none" w:sz="0" w:space="0" w:color="auto"/>
                          </w:divBdr>
                        </w:div>
                        <w:div w:id="1675186261">
                          <w:marLeft w:val="0"/>
                          <w:marRight w:val="0"/>
                          <w:marTop w:val="0"/>
                          <w:marBottom w:val="0"/>
                          <w:divBdr>
                            <w:top w:val="none" w:sz="0" w:space="0" w:color="auto"/>
                            <w:left w:val="none" w:sz="0" w:space="0" w:color="auto"/>
                            <w:bottom w:val="none" w:sz="0" w:space="0" w:color="auto"/>
                            <w:right w:val="none" w:sz="0" w:space="0" w:color="auto"/>
                          </w:divBdr>
                        </w:div>
                      </w:divsChild>
                    </w:div>
                    <w:div w:id="135343842">
                      <w:marLeft w:val="450"/>
                      <w:marRight w:val="0"/>
                      <w:marTop w:val="0"/>
                      <w:marBottom w:val="75"/>
                      <w:divBdr>
                        <w:top w:val="none" w:sz="0" w:space="0" w:color="auto"/>
                        <w:left w:val="none" w:sz="0" w:space="0" w:color="auto"/>
                        <w:bottom w:val="none" w:sz="0" w:space="0" w:color="auto"/>
                        <w:right w:val="none" w:sz="0" w:space="0" w:color="auto"/>
                      </w:divBdr>
                      <w:divsChild>
                        <w:div w:id="634412697">
                          <w:marLeft w:val="0"/>
                          <w:marRight w:val="0"/>
                          <w:marTop w:val="0"/>
                          <w:marBottom w:val="0"/>
                          <w:divBdr>
                            <w:top w:val="none" w:sz="0" w:space="0" w:color="auto"/>
                            <w:left w:val="none" w:sz="0" w:space="0" w:color="auto"/>
                            <w:bottom w:val="none" w:sz="0" w:space="0" w:color="auto"/>
                            <w:right w:val="none" w:sz="0" w:space="0" w:color="auto"/>
                          </w:divBdr>
                          <w:divsChild>
                            <w:div w:id="549388699">
                              <w:marLeft w:val="0"/>
                              <w:marRight w:val="0"/>
                              <w:marTop w:val="0"/>
                              <w:marBottom w:val="375"/>
                              <w:divBdr>
                                <w:top w:val="none" w:sz="0" w:space="0" w:color="auto"/>
                                <w:left w:val="none" w:sz="0" w:space="0" w:color="auto"/>
                                <w:bottom w:val="none" w:sz="0" w:space="0" w:color="auto"/>
                                <w:right w:val="none" w:sz="0" w:space="0" w:color="auto"/>
                              </w:divBdr>
                            </w:div>
                            <w:div w:id="2016880785">
                              <w:marLeft w:val="0"/>
                              <w:marRight w:val="0"/>
                              <w:marTop w:val="0"/>
                              <w:marBottom w:val="375"/>
                              <w:divBdr>
                                <w:top w:val="none" w:sz="0" w:space="0" w:color="auto"/>
                                <w:left w:val="none" w:sz="0" w:space="0" w:color="auto"/>
                                <w:bottom w:val="none" w:sz="0" w:space="0" w:color="auto"/>
                                <w:right w:val="none" w:sz="0" w:space="0" w:color="auto"/>
                              </w:divBdr>
                            </w:div>
                            <w:div w:id="1074543684">
                              <w:marLeft w:val="0"/>
                              <w:marRight w:val="0"/>
                              <w:marTop w:val="0"/>
                              <w:marBottom w:val="375"/>
                              <w:divBdr>
                                <w:top w:val="none" w:sz="0" w:space="0" w:color="auto"/>
                                <w:left w:val="none" w:sz="0" w:space="0" w:color="auto"/>
                                <w:bottom w:val="none" w:sz="0" w:space="0" w:color="auto"/>
                                <w:right w:val="none" w:sz="0" w:space="0" w:color="auto"/>
                              </w:divBdr>
                            </w:div>
                          </w:divsChild>
                        </w:div>
                        <w:div w:id="944382393">
                          <w:marLeft w:val="0"/>
                          <w:marRight w:val="0"/>
                          <w:marTop w:val="0"/>
                          <w:marBottom w:val="0"/>
                          <w:divBdr>
                            <w:top w:val="none" w:sz="0" w:space="0" w:color="auto"/>
                            <w:left w:val="none" w:sz="0" w:space="0" w:color="auto"/>
                            <w:bottom w:val="none" w:sz="0" w:space="0" w:color="auto"/>
                            <w:right w:val="none" w:sz="0" w:space="0" w:color="auto"/>
                          </w:divBdr>
                        </w:div>
                        <w:div w:id="310253321">
                          <w:marLeft w:val="0"/>
                          <w:marRight w:val="0"/>
                          <w:marTop w:val="0"/>
                          <w:marBottom w:val="0"/>
                          <w:divBdr>
                            <w:top w:val="none" w:sz="0" w:space="0" w:color="auto"/>
                            <w:left w:val="none" w:sz="0" w:space="0" w:color="auto"/>
                            <w:bottom w:val="none" w:sz="0" w:space="0" w:color="auto"/>
                            <w:right w:val="none" w:sz="0" w:space="0" w:color="auto"/>
                          </w:divBdr>
                          <w:divsChild>
                            <w:div w:id="255793381">
                              <w:marLeft w:val="0"/>
                              <w:marRight w:val="0"/>
                              <w:marTop w:val="0"/>
                              <w:marBottom w:val="375"/>
                              <w:divBdr>
                                <w:top w:val="none" w:sz="0" w:space="0" w:color="auto"/>
                                <w:left w:val="none" w:sz="0" w:space="0" w:color="auto"/>
                                <w:bottom w:val="none" w:sz="0" w:space="0" w:color="auto"/>
                                <w:right w:val="none" w:sz="0" w:space="0" w:color="auto"/>
                              </w:divBdr>
                            </w:div>
                          </w:divsChild>
                        </w:div>
                        <w:div w:id="1125586330">
                          <w:marLeft w:val="0"/>
                          <w:marRight w:val="0"/>
                          <w:marTop w:val="0"/>
                          <w:marBottom w:val="0"/>
                          <w:divBdr>
                            <w:top w:val="none" w:sz="0" w:space="0" w:color="auto"/>
                            <w:left w:val="none" w:sz="0" w:space="0" w:color="auto"/>
                            <w:bottom w:val="none" w:sz="0" w:space="0" w:color="auto"/>
                            <w:right w:val="none" w:sz="0" w:space="0" w:color="auto"/>
                          </w:divBdr>
                        </w:div>
                        <w:div w:id="1707364795">
                          <w:marLeft w:val="0"/>
                          <w:marRight w:val="0"/>
                          <w:marTop w:val="0"/>
                          <w:marBottom w:val="0"/>
                          <w:divBdr>
                            <w:top w:val="none" w:sz="0" w:space="0" w:color="auto"/>
                            <w:left w:val="none" w:sz="0" w:space="0" w:color="auto"/>
                            <w:bottom w:val="none" w:sz="0" w:space="0" w:color="auto"/>
                            <w:right w:val="none" w:sz="0" w:space="0" w:color="auto"/>
                          </w:divBdr>
                          <w:divsChild>
                            <w:div w:id="1343631793">
                              <w:marLeft w:val="0"/>
                              <w:marRight w:val="0"/>
                              <w:marTop w:val="0"/>
                              <w:marBottom w:val="375"/>
                              <w:divBdr>
                                <w:top w:val="none" w:sz="0" w:space="0" w:color="auto"/>
                                <w:left w:val="none" w:sz="0" w:space="0" w:color="auto"/>
                                <w:bottom w:val="none" w:sz="0" w:space="0" w:color="auto"/>
                                <w:right w:val="none" w:sz="0" w:space="0" w:color="auto"/>
                              </w:divBdr>
                            </w:div>
                            <w:div w:id="732394450">
                              <w:marLeft w:val="0"/>
                              <w:marRight w:val="0"/>
                              <w:marTop w:val="0"/>
                              <w:marBottom w:val="375"/>
                              <w:divBdr>
                                <w:top w:val="none" w:sz="0" w:space="0" w:color="auto"/>
                                <w:left w:val="none" w:sz="0" w:space="0" w:color="auto"/>
                                <w:bottom w:val="none" w:sz="0" w:space="0" w:color="auto"/>
                                <w:right w:val="none" w:sz="0" w:space="0" w:color="auto"/>
                              </w:divBdr>
                            </w:div>
                          </w:divsChild>
                        </w:div>
                      </w:divsChild>
                    </w:div>
                    <w:div w:id="1205172165">
                      <w:marLeft w:val="450"/>
                      <w:marRight w:val="0"/>
                      <w:marTop w:val="0"/>
                      <w:marBottom w:val="75"/>
                      <w:divBdr>
                        <w:top w:val="none" w:sz="0" w:space="0" w:color="auto"/>
                        <w:left w:val="none" w:sz="0" w:space="0" w:color="auto"/>
                        <w:bottom w:val="none" w:sz="0" w:space="0" w:color="auto"/>
                        <w:right w:val="none" w:sz="0" w:space="0" w:color="auto"/>
                      </w:divBdr>
                      <w:divsChild>
                        <w:div w:id="595788742">
                          <w:marLeft w:val="0"/>
                          <w:marRight w:val="0"/>
                          <w:marTop w:val="0"/>
                          <w:marBottom w:val="0"/>
                          <w:divBdr>
                            <w:top w:val="none" w:sz="0" w:space="0" w:color="auto"/>
                            <w:left w:val="none" w:sz="0" w:space="0" w:color="auto"/>
                            <w:bottom w:val="none" w:sz="0" w:space="0" w:color="auto"/>
                            <w:right w:val="none" w:sz="0" w:space="0" w:color="auto"/>
                          </w:divBdr>
                        </w:div>
                        <w:div w:id="1401711556">
                          <w:marLeft w:val="0"/>
                          <w:marRight w:val="0"/>
                          <w:marTop w:val="0"/>
                          <w:marBottom w:val="0"/>
                          <w:divBdr>
                            <w:top w:val="none" w:sz="0" w:space="0" w:color="auto"/>
                            <w:left w:val="none" w:sz="0" w:space="0" w:color="auto"/>
                            <w:bottom w:val="none" w:sz="0" w:space="0" w:color="auto"/>
                            <w:right w:val="none" w:sz="0" w:space="0" w:color="auto"/>
                          </w:divBdr>
                        </w:div>
                        <w:div w:id="1988584281">
                          <w:marLeft w:val="0"/>
                          <w:marRight w:val="0"/>
                          <w:marTop w:val="0"/>
                          <w:marBottom w:val="0"/>
                          <w:divBdr>
                            <w:top w:val="none" w:sz="0" w:space="0" w:color="auto"/>
                            <w:left w:val="none" w:sz="0" w:space="0" w:color="auto"/>
                            <w:bottom w:val="none" w:sz="0" w:space="0" w:color="auto"/>
                            <w:right w:val="none" w:sz="0" w:space="0" w:color="auto"/>
                          </w:divBdr>
                        </w:div>
                        <w:div w:id="88283846">
                          <w:marLeft w:val="0"/>
                          <w:marRight w:val="0"/>
                          <w:marTop w:val="0"/>
                          <w:marBottom w:val="0"/>
                          <w:divBdr>
                            <w:top w:val="none" w:sz="0" w:space="0" w:color="auto"/>
                            <w:left w:val="none" w:sz="0" w:space="0" w:color="auto"/>
                            <w:bottom w:val="none" w:sz="0" w:space="0" w:color="auto"/>
                            <w:right w:val="none" w:sz="0" w:space="0" w:color="auto"/>
                          </w:divBdr>
                        </w:div>
                        <w:div w:id="1079837648">
                          <w:marLeft w:val="0"/>
                          <w:marRight w:val="0"/>
                          <w:marTop w:val="0"/>
                          <w:marBottom w:val="0"/>
                          <w:divBdr>
                            <w:top w:val="none" w:sz="0" w:space="0" w:color="auto"/>
                            <w:left w:val="none" w:sz="0" w:space="0" w:color="auto"/>
                            <w:bottom w:val="none" w:sz="0" w:space="0" w:color="auto"/>
                            <w:right w:val="none" w:sz="0" w:space="0" w:color="auto"/>
                          </w:divBdr>
                        </w:div>
                        <w:div w:id="1035345786">
                          <w:marLeft w:val="0"/>
                          <w:marRight w:val="0"/>
                          <w:marTop w:val="0"/>
                          <w:marBottom w:val="0"/>
                          <w:divBdr>
                            <w:top w:val="none" w:sz="0" w:space="0" w:color="auto"/>
                            <w:left w:val="none" w:sz="0" w:space="0" w:color="auto"/>
                            <w:bottom w:val="none" w:sz="0" w:space="0" w:color="auto"/>
                            <w:right w:val="none" w:sz="0" w:space="0" w:color="auto"/>
                          </w:divBdr>
                        </w:div>
                        <w:div w:id="552279971">
                          <w:marLeft w:val="0"/>
                          <w:marRight w:val="0"/>
                          <w:marTop w:val="0"/>
                          <w:marBottom w:val="0"/>
                          <w:divBdr>
                            <w:top w:val="none" w:sz="0" w:space="0" w:color="auto"/>
                            <w:left w:val="none" w:sz="0" w:space="0" w:color="auto"/>
                            <w:bottom w:val="none" w:sz="0" w:space="0" w:color="auto"/>
                            <w:right w:val="none" w:sz="0" w:space="0" w:color="auto"/>
                          </w:divBdr>
                        </w:div>
                        <w:div w:id="1145659988">
                          <w:marLeft w:val="0"/>
                          <w:marRight w:val="0"/>
                          <w:marTop w:val="0"/>
                          <w:marBottom w:val="0"/>
                          <w:divBdr>
                            <w:top w:val="none" w:sz="0" w:space="0" w:color="auto"/>
                            <w:left w:val="none" w:sz="0" w:space="0" w:color="auto"/>
                            <w:bottom w:val="none" w:sz="0" w:space="0" w:color="auto"/>
                            <w:right w:val="none" w:sz="0" w:space="0" w:color="auto"/>
                          </w:divBdr>
                        </w:div>
                      </w:divsChild>
                    </w:div>
                    <w:div w:id="1279608001">
                      <w:marLeft w:val="450"/>
                      <w:marRight w:val="0"/>
                      <w:marTop w:val="0"/>
                      <w:marBottom w:val="75"/>
                      <w:divBdr>
                        <w:top w:val="none" w:sz="0" w:space="0" w:color="auto"/>
                        <w:left w:val="none" w:sz="0" w:space="0" w:color="auto"/>
                        <w:bottom w:val="none" w:sz="0" w:space="0" w:color="auto"/>
                        <w:right w:val="none" w:sz="0" w:space="0" w:color="auto"/>
                      </w:divBdr>
                      <w:divsChild>
                        <w:div w:id="1658922748">
                          <w:marLeft w:val="0"/>
                          <w:marRight w:val="0"/>
                          <w:marTop w:val="0"/>
                          <w:marBottom w:val="0"/>
                          <w:divBdr>
                            <w:top w:val="none" w:sz="0" w:space="0" w:color="auto"/>
                            <w:left w:val="none" w:sz="0" w:space="0" w:color="auto"/>
                            <w:bottom w:val="none" w:sz="0" w:space="0" w:color="auto"/>
                            <w:right w:val="none" w:sz="0" w:space="0" w:color="auto"/>
                          </w:divBdr>
                        </w:div>
                        <w:div w:id="342586443">
                          <w:marLeft w:val="0"/>
                          <w:marRight w:val="0"/>
                          <w:marTop w:val="0"/>
                          <w:marBottom w:val="0"/>
                          <w:divBdr>
                            <w:top w:val="none" w:sz="0" w:space="0" w:color="auto"/>
                            <w:left w:val="none" w:sz="0" w:space="0" w:color="auto"/>
                            <w:bottom w:val="none" w:sz="0" w:space="0" w:color="auto"/>
                            <w:right w:val="none" w:sz="0" w:space="0" w:color="auto"/>
                          </w:divBdr>
                        </w:div>
                        <w:div w:id="2144690706">
                          <w:marLeft w:val="0"/>
                          <w:marRight w:val="0"/>
                          <w:marTop w:val="0"/>
                          <w:marBottom w:val="0"/>
                          <w:divBdr>
                            <w:top w:val="none" w:sz="0" w:space="0" w:color="auto"/>
                            <w:left w:val="none" w:sz="0" w:space="0" w:color="auto"/>
                            <w:bottom w:val="none" w:sz="0" w:space="0" w:color="auto"/>
                            <w:right w:val="none" w:sz="0" w:space="0" w:color="auto"/>
                          </w:divBdr>
                        </w:div>
                        <w:div w:id="1682462986">
                          <w:marLeft w:val="0"/>
                          <w:marRight w:val="0"/>
                          <w:marTop w:val="0"/>
                          <w:marBottom w:val="0"/>
                          <w:divBdr>
                            <w:top w:val="none" w:sz="0" w:space="0" w:color="auto"/>
                            <w:left w:val="none" w:sz="0" w:space="0" w:color="auto"/>
                            <w:bottom w:val="none" w:sz="0" w:space="0" w:color="auto"/>
                            <w:right w:val="none" w:sz="0" w:space="0" w:color="auto"/>
                          </w:divBdr>
                        </w:div>
                        <w:div w:id="111558445">
                          <w:marLeft w:val="0"/>
                          <w:marRight w:val="0"/>
                          <w:marTop w:val="0"/>
                          <w:marBottom w:val="0"/>
                          <w:divBdr>
                            <w:top w:val="none" w:sz="0" w:space="0" w:color="auto"/>
                            <w:left w:val="none" w:sz="0" w:space="0" w:color="auto"/>
                            <w:bottom w:val="none" w:sz="0" w:space="0" w:color="auto"/>
                            <w:right w:val="none" w:sz="0" w:space="0" w:color="auto"/>
                          </w:divBdr>
                        </w:div>
                        <w:div w:id="855458354">
                          <w:marLeft w:val="0"/>
                          <w:marRight w:val="0"/>
                          <w:marTop w:val="0"/>
                          <w:marBottom w:val="0"/>
                          <w:divBdr>
                            <w:top w:val="none" w:sz="0" w:space="0" w:color="auto"/>
                            <w:left w:val="none" w:sz="0" w:space="0" w:color="auto"/>
                            <w:bottom w:val="none" w:sz="0" w:space="0" w:color="auto"/>
                            <w:right w:val="none" w:sz="0" w:space="0" w:color="auto"/>
                          </w:divBdr>
                        </w:div>
                        <w:div w:id="110101494">
                          <w:marLeft w:val="0"/>
                          <w:marRight w:val="0"/>
                          <w:marTop w:val="0"/>
                          <w:marBottom w:val="0"/>
                          <w:divBdr>
                            <w:top w:val="none" w:sz="0" w:space="0" w:color="auto"/>
                            <w:left w:val="none" w:sz="0" w:space="0" w:color="auto"/>
                            <w:bottom w:val="none" w:sz="0" w:space="0" w:color="auto"/>
                            <w:right w:val="none" w:sz="0" w:space="0" w:color="auto"/>
                          </w:divBdr>
                        </w:div>
                        <w:div w:id="1843154931">
                          <w:marLeft w:val="0"/>
                          <w:marRight w:val="0"/>
                          <w:marTop w:val="0"/>
                          <w:marBottom w:val="0"/>
                          <w:divBdr>
                            <w:top w:val="none" w:sz="0" w:space="0" w:color="auto"/>
                            <w:left w:val="none" w:sz="0" w:space="0" w:color="auto"/>
                            <w:bottom w:val="none" w:sz="0" w:space="0" w:color="auto"/>
                            <w:right w:val="none" w:sz="0" w:space="0" w:color="auto"/>
                          </w:divBdr>
                        </w:div>
                      </w:divsChild>
                    </w:div>
                    <w:div w:id="959530929">
                      <w:marLeft w:val="450"/>
                      <w:marRight w:val="0"/>
                      <w:marTop w:val="0"/>
                      <w:marBottom w:val="75"/>
                      <w:divBdr>
                        <w:top w:val="none" w:sz="0" w:space="0" w:color="auto"/>
                        <w:left w:val="none" w:sz="0" w:space="0" w:color="auto"/>
                        <w:bottom w:val="none" w:sz="0" w:space="0" w:color="auto"/>
                        <w:right w:val="none" w:sz="0" w:space="0" w:color="auto"/>
                      </w:divBdr>
                    </w:div>
                    <w:div w:id="29455598">
                      <w:marLeft w:val="450"/>
                      <w:marRight w:val="0"/>
                      <w:marTop w:val="0"/>
                      <w:marBottom w:val="75"/>
                      <w:divBdr>
                        <w:top w:val="none" w:sz="0" w:space="0" w:color="auto"/>
                        <w:left w:val="none" w:sz="0" w:space="0" w:color="auto"/>
                        <w:bottom w:val="none" w:sz="0" w:space="0" w:color="auto"/>
                        <w:right w:val="none" w:sz="0" w:space="0" w:color="auto"/>
                      </w:divBdr>
                    </w:div>
                    <w:div w:id="57016622">
                      <w:marLeft w:val="450"/>
                      <w:marRight w:val="0"/>
                      <w:marTop w:val="0"/>
                      <w:marBottom w:val="75"/>
                      <w:divBdr>
                        <w:top w:val="none" w:sz="0" w:space="0" w:color="auto"/>
                        <w:left w:val="none" w:sz="0" w:space="0" w:color="auto"/>
                        <w:bottom w:val="none" w:sz="0" w:space="0" w:color="auto"/>
                        <w:right w:val="none" w:sz="0" w:space="0" w:color="auto"/>
                      </w:divBdr>
                      <w:divsChild>
                        <w:div w:id="28265382">
                          <w:marLeft w:val="0"/>
                          <w:marRight w:val="0"/>
                          <w:marTop w:val="0"/>
                          <w:marBottom w:val="0"/>
                          <w:divBdr>
                            <w:top w:val="none" w:sz="0" w:space="0" w:color="auto"/>
                            <w:left w:val="none" w:sz="0" w:space="0" w:color="auto"/>
                            <w:bottom w:val="none" w:sz="0" w:space="0" w:color="auto"/>
                            <w:right w:val="none" w:sz="0" w:space="0" w:color="auto"/>
                          </w:divBdr>
                        </w:div>
                        <w:div w:id="1186791708">
                          <w:marLeft w:val="0"/>
                          <w:marRight w:val="0"/>
                          <w:marTop w:val="0"/>
                          <w:marBottom w:val="0"/>
                          <w:divBdr>
                            <w:top w:val="none" w:sz="0" w:space="0" w:color="auto"/>
                            <w:left w:val="none" w:sz="0" w:space="0" w:color="auto"/>
                            <w:bottom w:val="none" w:sz="0" w:space="0" w:color="auto"/>
                            <w:right w:val="none" w:sz="0" w:space="0" w:color="auto"/>
                          </w:divBdr>
                        </w:div>
                        <w:div w:id="587079198">
                          <w:marLeft w:val="0"/>
                          <w:marRight w:val="0"/>
                          <w:marTop w:val="0"/>
                          <w:marBottom w:val="0"/>
                          <w:divBdr>
                            <w:top w:val="none" w:sz="0" w:space="0" w:color="auto"/>
                            <w:left w:val="none" w:sz="0" w:space="0" w:color="auto"/>
                            <w:bottom w:val="none" w:sz="0" w:space="0" w:color="auto"/>
                            <w:right w:val="none" w:sz="0" w:space="0" w:color="auto"/>
                          </w:divBdr>
                          <w:divsChild>
                            <w:div w:id="1552812237">
                              <w:marLeft w:val="0"/>
                              <w:marRight w:val="0"/>
                              <w:marTop w:val="0"/>
                              <w:marBottom w:val="375"/>
                              <w:divBdr>
                                <w:top w:val="none" w:sz="0" w:space="0" w:color="auto"/>
                                <w:left w:val="none" w:sz="0" w:space="0" w:color="auto"/>
                                <w:bottom w:val="none" w:sz="0" w:space="0" w:color="auto"/>
                                <w:right w:val="none" w:sz="0" w:space="0" w:color="auto"/>
                              </w:divBdr>
                            </w:div>
                          </w:divsChild>
                        </w:div>
                        <w:div w:id="1743065806">
                          <w:marLeft w:val="0"/>
                          <w:marRight w:val="0"/>
                          <w:marTop w:val="0"/>
                          <w:marBottom w:val="0"/>
                          <w:divBdr>
                            <w:top w:val="none" w:sz="0" w:space="0" w:color="auto"/>
                            <w:left w:val="none" w:sz="0" w:space="0" w:color="auto"/>
                            <w:bottom w:val="none" w:sz="0" w:space="0" w:color="auto"/>
                            <w:right w:val="none" w:sz="0" w:space="0" w:color="auto"/>
                          </w:divBdr>
                        </w:div>
                      </w:divsChild>
                    </w:div>
                    <w:div w:id="795678303">
                      <w:marLeft w:val="450"/>
                      <w:marRight w:val="0"/>
                      <w:marTop w:val="0"/>
                      <w:marBottom w:val="75"/>
                      <w:divBdr>
                        <w:top w:val="none" w:sz="0" w:space="0" w:color="auto"/>
                        <w:left w:val="none" w:sz="0" w:space="0" w:color="auto"/>
                        <w:bottom w:val="none" w:sz="0" w:space="0" w:color="auto"/>
                        <w:right w:val="none" w:sz="0" w:space="0" w:color="auto"/>
                      </w:divBdr>
                      <w:divsChild>
                        <w:div w:id="1050424182">
                          <w:marLeft w:val="0"/>
                          <w:marRight w:val="0"/>
                          <w:marTop w:val="0"/>
                          <w:marBottom w:val="0"/>
                          <w:divBdr>
                            <w:top w:val="none" w:sz="0" w:space="0" w:color="auto"/>
                            <w:left w:val="none" w:sz="0" w:space="0" w:color="auto"/>
                            <w:bottom w:val="none" w:sz="0" w:space="0" w:color="auto"/>
                            <w:right w:val="none" w:sz="0" w:space="0" w:color="auto"/>
                          </w:divBdr>
                        </w:div>
                        <w:div w:id="1491364846">
                          <w:marLeft w:val="0"/>
                          <w:marRight w:val="0"/>
                          <w:marTop w:val="0"/>
                          <w:marBottom w:val="0"/>
                          <w:divBdr>
                            <w:top w:val="none" w:sz="0" w:space="0" w:color="auto"/>
                            <w:left w:val="none" w:sz="0" w:space="0" w:color="auto"/>
                            <w:bottom w:val="none" w:sz="0" w:space="0" w:color="auto"/>
                            <w:right w:val="none" w:sz="0" w:space="0" w:color="auto"/>
                          </w:divBdr>
                        </w:div>
                      </w:divsChild>
                    </w:div>
                    <w:div w:id="1211653176">
                      <w:marLeft w:val="450"/>
                      <w:marRight w:val="0"/>
                      <w:marTop w:val="0"/>
                      <w:marBottom w:val="75"/>
                      <w:divBdr>
                        <w:top w:val="none" w:sz="0" w:space="0" w:color="auto"/>
                        <w:left w:val="none" w:sz="0" w:space="0" w:color="auto"/>
                        <w:bottom w:val="none" w:sz="0" w:space="0" w:color="auto"/>
                        <w:right w:val="none" w:sz="0" w:space="0" w:color="auto"/>
                      </w:divBdr>
                      <w:divsChild>
                        <w:div w:id="1171531217">
                          <w:marLeft w:val="0"/>
                          <w:marRight w:val="0"/>
                          <w:marTop w:val="0"/>
                          <w:marBottom w:val="0"/>
                          <w:divBdr>
                            <w:top w:val="none" w:sz="0" w:space="0" w:color="auto"/>
                            <w:left w:val="none" w:sz="0" w:space="0" w:color="auto"/>
                            <w:bottom w:val="none" w:sz="0" w:space="0" w:color="auto"/>
                            <w:right w:val="none" w:sz="0" w:space="0" w:color="auto"/>
                          </w:divBdr>
                        </w:div>
                        <w:div w:id="1527524419">
                          <w:marLeft w:val="0"/>
                          <w:marRight w:val="0"/>
                          <w:marTop w:val="0"/>
                          <w:marBottom w:val="0"/>
                          <w:divBdr>
                            <w:top w:val="none" w:sz="0" w:space="0" w:color="auto"/>
                            <w:left w:val="none" w:sz="0" w:space="0" w:color="auto"/>
                            <w:bottom w:val="none" w:sz="0" w:space="0" w:color="auto"/>
                            <w:right w:val="none" w:sz="0" w:space="0" w:color="auto"/>
                          </w:divBdr>
                        </w:div>
                        <w:div w:id="438913434">
                          <w:marLeft w:val="0"/>
                          <w:marRight w:val="0"/>
                          <w:marTop w:val="0"/>
                          <w:marBottom w:val="0"/>
                          <w:divBdr>
                            <w:top w:val="none" w:sz="0" w:space="0" w:color="auto"/>
                            <w:left w:val="none" w:sz="0" w:space="0" w:color="auto"/>
                            <w:bottom w:val="none" w:sz="0" w:space="0" w:color="auto"/>
                            <w:right w:val="none" w:sz="0" w:space="0" w:color="auto"/>
                          </w:divBdr>
                        </w:div>
                        <w:div w:id="1027364786">
                          <w:marLeft w:val="0"/>
                          <w:marRight w:val="0"/>
                          <w:marTop w:val="0"/>
                          <w:marBottom w:val="0"/>
                          <w:divBdr>
                            <w:top w:val="none" w:sz="0" w:space="0" w:color="auto"/>
                            <w:left w:val="none" w:sz="0" w:space="0" w:color="auto"/>
                            <w:bottom w:val="none" w:sz="0" w:space="0" w:color="auto"/>
                            <w:right w:val="none" w:sz="0" w:space="0" w:color="auto"/>
                          </w:divBdr>
                        </w:div>
                        <w:div w:id="1833717035">
                          <w:marLeft w:val="0"/>
                          <w:marRight w:val="0"/>
                          <w:marTop w:val="0"/>
                          <w:marBottom w:val="0"/>
                          <w:divBdr>
                            <w:top w:val="none" w:sz="0" w:space="0" w:color="auto"/>
                            <w:left w:val="none" w:sz="0" w:space="0" w:color="auto"/>
                            <w:bottom w:val="none" w:sz="0" w:space="0" w:color="auto"/>
                            <w:right w:val="none" w:sz="0" w:space="0" w:color="auto"/>
                          </w:divBdr>
                        </w:div>
                        <w:div w:id="1885367148">
                          <w:marLeft w:val="0"/>
                          <w:marRight w:val="0"/>
                          <w:marTop w:val="0"/>
                          <w:marBottom w:val="0"/>
                          <w:divBdr>
                            <w:top w:val="none" w:sz="0" w:space="0" w:color="auto"/>
                            <w:left w:val="none" w:sz="0" w:space="0" w:color="auto"/>
                            <w:bottom w:val="none" w:sz="0" w:space="0" w:color="auto"/>
                            <w:right w:val="none" w:sz="0" w:space="0" w:color="auto"/>
                          </w:divBdr>
                          <w:divsChild>
                            <w:div w:id="1434012130">
                              <w:marLeft w:val="0"/>
                              <w:marRight w:val="0"/>
                              <w:marTop w:val="0"/>
                              <w:marBottom w:val="375"/>
                              <w:divBdr>
                                <w:top w:val="none" w:sz="0" w:space="0" w:color="auto"/>
                                <w:left w:val="none" w:sz="0" w:space="0" w:color="auto"/>
                                <w:bottom w:val="none" w:sz="0" w:space="0" w:color="auto"/>
                                <w:right w:val="none" w:sz="0" w:space="0" w:color="auto"/>
                              </w:divBdr>
                            </w:div>
                          </w:divsChild>
                        </w:div>
                      </w:divsChild>
                    </w:div>
                    <w:div w:id="1852987878">
                      <w:marLeft w:val="450"/>
                      <w:marRight w:val="0"/>
                      <w:marTop w:val="0"/>
                      <w:marBottom w:val="75"/>
                      <w:divBdr>
                        <w:top w:val="none" w:sz="0" w:space="0" w:color="auto"/>
                        <w:left w:val="none" w:sz="0" w:space="0" w:color="auto"/>
                        <w:bottom w:val="none" w:sz="0" w:space="0" w:color="auto"/>
                        <w:right w:val="none" w:sz="0" w:space="0" w:color="auto"/>
                      </w:divBdr>
                    </w:div>
                    <w:div w:id="581525694">
                      <w:marLeft w:val="450"/>
                      <w:marRight w:val="0"/>
                      <w:marTop w:val="0"/>
                      <w:marBottom w:val="75"/>
                      <w:divBdr>
                        <w:top w:val="none" w:sz="0" w:space="0" w:color="auto"/>
                        <w:left w:val="none" w:sz="0" w:space="0" w:color="auto"/>
                        <w:bottom w:val="none" w:sz="0" w:space="0" w:color="auto"/>
                        <w:right w:val="none" w:sz="0" w:space="0" w:color="auto"/>
                      </w:divBdr>
                      <w:divsChild>
                        <w:div w:id="2009399366">
                          <w:marLeft w:val="0"/>
                          <w:marRight w:val="0"/>
                          <w:marTop w:val="0"/>
                          <w:marBottom w:val="0"/>
                          <w:divBdr>
                            <w:top w:val="none" w:sz="0" w:space="0" w:color="auto"/>
                            <w:left w:val="none" w:sz="0" w:space="0" w:color="auto"/>
                            <w:bottom w:val="none" w:sz="0" w:space="0" w:color="auto"/>
                            <w:right w:val="none" w:sz="0" w:space="0" w:color="auto"/>
                          </w:divBdr>
                        </w:div>
                        <w:div w:id="117922360">
                          <w:marLeft w:val="0"/>
                          <w:marRight w:val="0"/>
                          <w:marTop w:val="0"/>
                          <w:marBottom w:val="0"/>
                          <w:divBdr>
                            <w:top w:val="none" w:sz="0" w:space="0" w:color="auto"/>
                            <w:left w:val="none" w:sz="0" w:space="0" w:color="auto"/>
                            <w:bottom w:val="none" w:sz="0" w:space="0" w:color="auto"/>
                            <w:right w:val="none" w:sz="0" w:space="0" w:color="auto"/>
                          </w:divBdr>
                        </w:div>
                        <w:div w:id="878323818">
                          <w:marLeft w:val="0"/>
                          <w:marRight w:val="0"/>
                          <w:marTop w:val="0"/>
                          <w:marBottom w:val="0"/>
                          <w:divBdr>
                            <w:top w:val="none" w:sz="0" w:space="0" w:color="auto"/>
                            <w:left w:val="none" w:sz="0" w:space="0" w:color="auto"/>
                            <w:bottom w:val="none" w:sz="0" w:space="0" w:color="auto"/>
                            <w:right w:val="none" w:sz="0" w:space="0" w:color="auto"/>
                          </w:divBdr>
                        </w:div>
                        <w:div w:id="38746685">
                          <w:marLeft w:val="0"/>
                          <w:marRight w:val="0"/>
                          <w:marTop w:val="0"/>
                          <w:marBottom w:val="0"/>
                          <w:divBdr>
                            <w:top w:val="none" w:sz="0" w:space="0" w:color="auto"/>
                            <w:left w:val="none" w:sz="0" w:space="0" w:color="auto"/>
                            <w:bottom w:val="none" w:sz="0" w:space="0" w:color="auto"/>
                            <w:right w:val="none" w:sz="0" w:space="0" w:color="auto"/>
                          </w:divBdr>
                        </w:div>
                        <w:div w:id="1033727416">
                          <w:marLeft w:val="0"/>
                          <w:marRight w:val="0"/>
                          <w:marTop w:val="0"/>
                          <w:marBottom w:val="0"/>
                          <w:divBdr>
                            <w:top w:val="none" w:sz="0" w:space="0" w:color="auto"/>
                            <w:left w:val="none" w:sz="0" w:space="0" w:color="auto"/>
                            <w:bottom w:val="none" w:sz="0" w:space="0" w:color="auto"/>
                            <w:right w:val="none" w:sz="0" w:space="0" w:color="auto"/>
                          </w:divBdr>
                        </w:div>
                        <w:div w:id="1648242153">
                          <w:marLeft w:val="0"/>
                          <w:marRight w:val="0"/>
                          <w:marTop w:val="0"/>
                          <w:marBottom w:val="0"/>
                          <w:divBdr>
                            <w:top w:val="none" w:sz="0" w:space="0" w:color="auto"/>
                            <w:left w:val="none" w:sz="0" w:space="0" w:color="auto"/>
                            <w:bottom w:val="none" w:sz="0" w:space="0" w:color="auto"/>
                            <w:right w:val="none" w:sz="0" w:space="0" w:color="auto"/>
                          </w:divBdr>
                        </w:div>
                        <w:div w:id="1563323450">
                          <w:marLeft w:val="0"/>
                          <w:marRight w:val="0"/>
                          <w:marTop w:val="0"/>
                          <w:marBottom w:val="0"/>
                          <w:divBdr>
                            <w:top w:val="none" w:sz="0" w:space="0" w:color="auto"/>
                            <w:left w:val="none" w:sz="0" w:space="0" w:color="auto"/>
                            <w:bottom w:val="none" w:sz="0" w:space="0" w:color="auto"/>
                            <w:right w:val="none" w:sz="0" w:space="0" w:color="auto"/>
                          </w:divBdr>
                        </w:div>
                        <w:div w:id="347604092">
                          <w:marLeft w:val="0"/>
                          <w:marRight w:val="0"/>
                          <w:marTop w:val="0"/>
                          <w:marBottom w:val="0"/>
                          <w:divBdr>
                            <w:top w:val="none" w:sz="0" w:space="0" w:color="auto"/>
                            <w:left w:val="none" w:sz="0" w:space="0" w:color="auto"/>
                            <w:bottom w:val="none" w:sz="0" w:space="0" w:color="auto"/>
                            <w:right w:val="none" w:sz="0" w:space="0" w:color="auto"/>
                          </w:divBdr>
                        </w:div>
                        <w:div w:id="487594467">
                          <w:marLeft w:val="0"/>
                          <w:marRight w:val="0"/>
                          <w:marTop w:val="0"/>
                          <w:marBottom w:val="0"/>
                          <w:divBdr>
                            <w:top w:val="none" w:sz="0" w:space="0" w:color="auto"/>
                            <w:left w:val="none" w:sz="0" w:space="0" w:color="auto"/>
                            <w:bottom w:val="none" w:sz="0" w:space="0" w:color="auto"/>
                            <w:right w:val="none" w:sz="0" w:space="0" w:color="auto"/>
                          </w:divBdr>
                        </w:div>
                      </w:divsChild>
                    </w:div>
                    <w:div w:id="315456582">
                      <w:marLeft w:val="450"/>
                      <w:marRight w:val="0"/>
                      <w:marTop w:val="0"/>
                      <w:marBottom w:val="75"/>
                      <w:divBdr>
                        <w:top w:val="none" w:sz="0" w:space="0" w:color="auto"/>
                        <w:left w:val="none" w:sz="0" w:space="0" w:color="auto"/>
                        <w:bottom w:val="none" w:sz="0" w:space="0" w:color="auto"/>
                        <w:right w:val="none" w:sz="0" w:space="0" w:color="auto"/>
                      </w:divBdr>
                      <w:divsChild>
                        <w:div w:id="1294017373">
                          <w:marLeft w:val="0"/>
                          <w:marRight w:val="0"/>
                          <w:marTop w:val="0"/>
                          <w:marBottom w:val="375"/>
                          <w:divBdr>
                            <w:top w:val="none" w:sz="0" w:space="0" w:color="auto"/>
                            <w:left w:val="none" w:sz="0" w:space="0" w:color="auto"/>
                            <w:bottom w:val="none" w:sz="0" w:space="0" w:color="auto"/>
                            <w:right w:val="none" w:sz="0" w:space="0" w:color="auto"/>
                          </w:divBdr>
                        </w:div>
                        <w:div w:id="63382654">
                          <w:marLeft w:val="0"/>
                          <w:marRight w:val="0"/>
                          <w:marTop w:val="0"/>
                          <w:marBottom w:val="375"/>
                          <w:divBdr>
                            <w:top w:val="none" w:sz="0" w:space="0" w:color="auto"/>
                            <w:left w:val="none" w:sz="0" w:space="0" w:color="auto"/>
                            <w:bottom w:val="none" w:sz="0" w:space="0" w:color="auto"/>
                            <w:right w:val="none" w:sz="0" w:space="0" w:color="auto"/>
                          </w:divBdr>
                        </w:div>
                        <w:div w:id="778837785">
                          <w:marLeft w:val="0"/>
                          <w:marRight w:val="0"/>
                          <w:marTop w:val="0"/>
                          <w:marBottom w:val="375"/>
                          <w:divBdr>
                            <w:top w:val="none" w:sz="0" w:space="0" w:color="auto"/>
                            <w:left w:val="none" w:sz="0" w:space="0" w:color="auto"/>
                            <w:bottom w:val="none" w:sz="0" w:space="0" w:color="auto"/>
                            <w:right w:val="none" w:sz="0" w:space="0" w:color="auto"/>
                          </w:divBdr>
                        </w:div>
                      </w:divsChild>
                    </w:div>
                    <w:div w:id="603654926">
                      <w:marLeft w:val="450"/>
                      <w:marRight w:val="0"/>
                      <w:marTop w:val="0"/>
                      <w:marBottom w:val="75"/>
                      <w:divBdr>
                        <w:top w:val="none" w:sz="0" w:space="0" w:color="auto"/>
                        <w:left w:val="none" w:sz="0" w:space="0" w:color="auto"/>
                        <w:bottom w:val="none" w:sz="0" w:space="0" w:color="auto"/>
                        <w:right w:val="none" w:sz="0" w:space="0" w:color="auto"/>
                      </w:divBdr>
                    </w:div>
                    <w:div w:id="2030600146">
                      <w:marLeft w:val="450"/>
                      <w:marRight w:val="0"/>
                      <w:marTop w:val="0"/>
                      <w:marBottom w:val="75"/>
                      <w:divBdr>
                        <w:top w:val="none" w:sz="0" w:space="0" w:color="auto"/>
                        <w:left w:val="none" w:sz="0" w:space="0" w:color="auto"/>
                        <w:bottom w:val="none" w:sz="0" w:space="0" w:color="auto"/>
                        <w:right w:val="none" w:sz="0" w:space="0" w:color="auto"/>
                      </w:divBdr>
                      <w:divsChild>
                        <w:div w:id="299725788">
                          <w:marLeft w:val="0"/>
                          <w:marRight w:val="0"/>
                          <w:marTop w:val="0"/>
                          <w:marBottom w:val="375"/>
                          <w:divBdr>
                            <w:top w:val="none" w:sz="0" w:space="0" w:color="auto"/>
                            <w:left w:val="none" w:sz="0" w:space="0" w:color="auto"/>
                            <w:bottom w:val="none" w:sz="0" w:space="0" w:color="auto"/>
                            <w:right w:val="none" w:sz="0" w:space="0" w:color="auto"/>
                          </w:divBdr>
                        </w:div>
                        <w:div w:id="1084762228">
                          <w:marLeft w:val="0"/>
                          <w:marRight w:val="0"/>
                          <w:marTop w:val="0"/>
                          <w:marBottom w:val="375"/>
                          <w:divBdr>
                            <w:top w:val="none" w:sz="0" w:space="0" w:color="auto"/>
                            <w:left w:val="none" w:sz="0" w:space="0" w:color="auto"/>
                            <w:bottom w:val="none" w:sz="0" w:space="0" w:color="auto"/>
                            <w:right w:val="none" w:sz="0" w:space="0" w:color="auto"/>
                          </w:divBdr>
                        </w:div>
                      </w:divsChild>
                    </w:div>
                    <w:div w:id="1087308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068238">
              <w:marLeft w:val="0"/>
              <w:marRight w:val="0"/>
              <w:marTop w:val="0"/>
              <w:marBottom w:val="0"/>
              <w:divBdr>
                <w:top w:val="dashed" w:sz="6" w:space="15" w:color="000000"/>
                <w:left w:val="none" w:sz="0" w:space="0" w:color="auto"/>
                <w:bottom w:val="none" w:sz="0" w:space="15"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dailymed.nlm.nih.gov/dailymed/getFile.cfm?setid=a2d75d7d-a6d0-4489-85f7-a57c237ba5e2&amp;type=pdf&amp;name=a2d75d7d-a6d0-4489-85f7-a57c237ba5e2" TargetMode="External"/><Relationship Id="rId117" Type="http://schemas.openxmlformats.org/officeDocument/2006/relationships/hyperlink" Target="https://dailymed.nlm.nih.gov/dailymed/drugInfo.cfm?setid=a2d75d7d-a6d0-4489-85f7-a57c237ba5e2" TargetMode="External"/><Relationship Id="rId21" Type="http://schemas.openxmlformats.org/officeDocument/2006/relationships/hyperlink" Target="https://dailymed.nlm.nih.gov/dailymed/drugInfo.cfm?setid=a2d75d7d-a6d0-4489-85f7-a57c237ba5e2" TargetMode="External"/><Relationship Id="rId42" Type="http://schemas.openxmlformats.org/officeDocument/2006/relationships/hyperlink" Target="https://dailymed.nlm.nih.gov/dailymed/drugInfo.cfm?setid=a2d75d7d-a6d0-4489-85f7-a57c237ba5e2" TargetMode="External"/><Relationship Id="rId47" Type="http://schemas.openxmlformats.org/officeDocument/2006/relationships/hyperlink" Target="https://dailymed.nlm.nih.gov/dailymed/drugInfo.cfm?setid=a2d75d7d-a6d0-4489-85f7-a57c237ba5e2" TargetMode="External"/><Relationship Id="rId63" Type="http://schemas.openxmlformats.org/officeDocument/2006/relationships/hyperlink" Target="https://dailymed.nlm.nih.gov/dailymed/drugInfo.cfm?setid=a2d75d7d-a6d0-4489-85f7-a57c237ba5e2" TargetMode="External"/><Relationship Id="rId68" Type="http://schemas.openxmlformats.org/officeDocument/2006/relationships/hyperlink" Target="https://dailymed.nlm.nih.gov/dailymed/drugInfo.cfm?setid=a2d75d7d-a6d0-4489-85f7-a57c237ba5e2" TargetMode="External"/><Relationship Id="rId84" Type="http://schemas.openxmlformats.org/officeDocument/2006/relationships/hyperlink" Target="https://dailymed.nlm.nih.gov/dailymed/drugInfo.cfm?setid=a2d75d7d-a6d0-4489-85f7-a57c237ba5e2" TargetMode="External"/><Relationship Id="rId89" Type="http://schemas.openxmlformats.org/officeDocument/2006/relationships/hyperlink" Target="https://dailymed.nlm.nih.gov/dailymed/drugInfo.cfm?setid=a2d75d7d-a6d0-4489-85f7-a57c237ba5e2" TargetMode="External"/><Relationship Id="rId112" Type="http://schemas.openxmlformats.org/officeDocument/2006/relationships/hyperlink" Target="https://dailymed.nlm.nih.gov/dailymed/drugInfo.cfm?setid=a2d75d7d-a6d0-4489-85f7-a57c237ba5e2" TargetMode="External"/><Relationship Id="rId133" Type="http://schemas.openxmlformats.org/officeDocument/2006/relationships/hyperlink" Target="https://dailymed.nlm.nih.gov/dailymed/drugInfo.cfm?setid=a2d75d7d-a6d0-4489-85f7-a57c237ba5e2" TargetMode="External"/><Relationship Id="rId138" Type="http://schemas.openxmlformats.org/officeDocument/2006/relationships/hyperlink" Target="https://dailymed.nlm.nih.gov/dailymed/drugInfo.cfm?setid=a2d75d7d-a6d0-4489-85f7-a57c237ba5e2" TargetMode="External"/><Relationship Id="rId154" Type="http://schemas.openxmlformats.org/officeDocument/2006/relationships/hyperlink" Target="https://dailymed.nlm.nih.gov/dailymed/drugInfo.cfm?setid=a2d75d7d-a6d0-4489-85f7-a57c237ba5e2" TargetMode="External"/><Relationship Id="rId159" Type="http://schemas.openxmlformats.org/officeDocument/2006/relationships/hyperlink" Target="https://dailymed.nlm.nih.gov/dailymed/drugInfo.cfm?setid=a2d75d7d-a6d0-4489-85f7-a57c237ba5e2" TargetMode="External"/><Relationship Id="rId175" Type="http://schemas.openxmlformats.org/officeDocument/2006/relationships/hyperlink" Target="https://dailymed.nlm.nih.gov/dailymed/drugInfo.cfm?setid=a2d75d7d-a6d0-4489-85f7-a57c237ba5e2" TargetMode="External"/><Relationship Id="rId170" Type="http://schemas.openxmlformats.org/officeDocument/2006/relationships/hyperlink" Target="https://dailymed.nlm.nih.gov/dailymed/drugInfo.cfm?setid=a2d75d7d-a6d0-4489-85f7-a57c237ba5e2" TargetMode="External"/><Relationship Id="rId16" Type="http://schemas.openxmlformats.org/officeDocument/2006/relationships/hyperlink" Target="https://vsearch.nlm.nih.gov/vivisimo/cgi-bin/query-meta?v:project=medlineplus&amp;query=CELECOXIB" TargetMode="External"/><Relationship Id="rId107" Type="http://schemas.openxmlformats.org/officeDocument/2006/relationships/hyperlink" Target="https://dailymed.nlm.nih.gov/dailymed/drugInfo.cfm?setid=a2d75d7d-a6d0-4489-85f7-a57c237ba5e2" TargetMode="External"/><Relationship Id="rId11" Type="http://schemas.openxmlformats.org/officeDocument/2006/relationships/hyperlink" Target="https://dailymed.nlm.nih.gov/dailymed/drugInfo.cfm?setid=a2d75d7d-a6d0-4489-85f7-a57c237ba5e2" TargetMode="External"/><Relationship Id="rId32" Type="http://schemas.openxmlformats.org/officeDocument/2006/relationships/hyperlink" Target="https://dailymed.nlm.nih.gov/dailymed/drugInfo.cfm?setid=a2d75d7d-a6d0-4489-85f7-a57c237ba5e2" TargetMode="External"/><Relationship Id="rId37" Type="http://schemas.openxmlformats.org/officeDocument/2006/relationships/hyperlink" Target="https://dailymed.nlm.nih.gov/dailymed/drugInfo.cfm?setid=a2d75d7d-a6d0-4489-85f7-a57c237ba5e2" TargetMode="External"/><Relationship Id="rId53" Type="http://schemas.openxmlformats.org/officeDocument/2006/relationships/hyperlink" Target="https://dailymed.nlm.nih.gov/dailymed/drugInfo.cfm?setid=a2d75d7d-a6d0-4489-85f7-a57c237ba5e2" TargetMode="External"/><Relationship Id="rId58" Type="http://schemas.openxmlformats.org/officeDocument/2006/relationships/hyperlink" Target="https://dailymed.nlm.nih.gov/dailymed/drugInfo.cfm?setid=a2d75d7d-a6d0-4489-85f7-a57c237ba5e2" TargetMode="External"/><Relationship Id="rId74" Type="http://schemas.openxmlformats.org/officeDocument/2006/relationships/hyperlink" Target="https://dailymed.nlm.nih.gov/dailymed/drugInfo.cfm?setid=a2d75d7d-a6d0-4489-85f7-a57c237ba5e2" TargetMode="External"/><Relationship Id="rId79" Type="http://schemas.openxmlformats.org/officeDocument/2006/relationships/hyperlink" Target="https://dailymed.nlm.nih.gov/dailymed/drugInfo.cfm?setid=a2d75d7d-a6d0-4489-85f7-a57c237ba5e2" TargetMode="External"/><Relationship Id="rId102" Type="http://schemas.openxmlformats.org/officeDocument/2006/relationships/hyperlink" Target="https://dailymed.nlm.nih.gov/dailymed/drugInfo.cfm?setid=a2d75d7d-a6d0-4489-85f7-a57c237ba5e2" TargetMode="External"/><Relationship Id="rId123" Type="http://schemas.openxmlformats.org/officeDocument/2006/relationships/hyperlink" Target="https://dailymed.nlm.nih.gov/dailymed/drugInfo.cfm?setid=a2d75d7d-a6d0-4489-85f7-a57c237ba5e2" TargetMode="External"/><Relationship Id="rId128" Type="http://schemas.openxmlformats.org/officeDocument/2006/relationships/hyperlink" Target="https://dailymed.nlm.nih.gov/dailymed/drugInfo.cfm?setid=a2d75d7d-a6d0-4489-85f7-a57c237ba5e2" TargetMode="External"/><Relationship Id="rId144" Type="http://schemas.openxmlformats.org/officeDocument/2006/relationships/hyperlink" Target="https://dailymed.nlm.nih.gov/dailymed/drugInfo.cfm?setid=a2d75d7d-a6d0-4489-85f7-a57c237ba5e2" TargetMode="External"/><Relationship Id="rId149" Type="http://schemas.openxmlformats.org/officeDocument/2006/relationships/hyperlink" Target="https://dailymed.nlm.nih.gov/dailymed/drugInfo.cfm?setid=a2d75d7d-a6d0-4489-85f7-a57c237ba5e2" TargetMode="External"/><Relationship Id="rId5" Type="http://schemas.openxmlformats.org/officeDocument/2006/relationships/webSettings" Target="webSettings.xml"/><Relationship Id="rId90" Type="http://schemas.openxmlformats.org/officeDocument/2006/relationships/hyperlink" Target="https://dailymed.nlm.nih.gov/dailymed/drugInfo.cfm?setid=a2d75d7d-a6d0-4489-85f7-a57c237ba5e2" TargetMode="External"/><Relationship Id="rId95" Type="http://schemas.openxmlformats.org/officeDocument/2006/relationships/hyperlink" Target="https://dailymed.nlm.nih.gov/dailymed/drugInfo.cfm?setid=a2d75d7d-a6d0-4489-85f7-a57c237ba5e2" TargetMode="External"/><Relationship Id="rId160" Type="http://schemas.openxmlformats.org/officeDocument/2006/relationships/hyperlink" Target="https://dailymed.nlm.nih.gov/dailymed/drugInfo.cfm?setid=a2d75d7d-a6d0-4489-85f7-a57c237ba5e2" TargetMode="External"/><Relationship Id="rId165" Type="http://schemas.openxmlformats.org/officeDocument/2006/relationships/hyperlink" Target="https://dailymed.nlm.nih.gov/dailymed/drugInfo.cfm?setid=a2d75d7d-a6d0-4489-85f7-a57c237ba5e2" TargetMode="External"/><Relationship Id="rId181" Type="http://schemas.openxmlformats.org/officeDocument/2006/relationships/hyperlink" Target="https://www.clinicaltrials.gov/ct/search?submit=Search&amp;term=CELECOXIB" TargetMode="External"/><Relationship Id="rId186" Type="http://schemas.openxmlformats.org/officeDocument/2006/relationships/hyperlink" Target="https://dailymed.nlm.nih.gov/dailymed/drugInfo.cfm?setid=a2d75d7d-a6d0-4489-85f7-a57c237ba5e2" TargetMode="External"/><Relationship Id="rId22" Type="http://schemas.openxmlformats.org/officeDocument/2006/relationships/hyperlink" Target="https://dailymed.nlm.nih.gov/dailymed/drugInfo.cfm?setid=a2d75d7d-a6d0-4489-85f7-a57c237ba5e2" TargetMode="External"/><Relationship Id="rId27" Type="http://schemas.openxmlformats.org/officeDocument/2006/relationships/hyperlink" Target="https://dailymed.nlm.nih.gov/dailymed/getFile.cfm?setid=a2d75d7d-a6d0-4489-85f7-a57c237ba5e2&amp;type=zip&amp;name=CELECOXIB%20400%20MG" TargetMode="External"/><Relationship Id="rId43" Type="http://schemas.openxmlformats.org/officeDocument/2006/relationships/hyperlink" Target="https://dailymed.nlm.nih.gov/dailymed/drugInfo.cfm?setid=a2d75d7d-a6d0-4489-85f7-a57c237ba5e2" TargetMode="External"/><Relationship Id="rId48" Type="http://schemas.openxmlformats.org/officeDocument/2006/relationships/hyperlink" Target="https://dailymed.nlm.nih.gov/dailymed/drugInfo.cfm?setid=a2d75d7d-a6d0-4489-85f7-a57c237ba5e2" TargetMode="External"/><Relationship Id="rId64" Type="http://schemas.openxmlformats.org/officeDocument/2006/relationships/hyperlink" Target="https://dailymed.nlm.nih.gov/dailymed/drugInfo.cfm?setid=a2d75d7d-a6d0-4489-85f7-a57c237ba5e2" TargetMode="External"/><Relationship Id="rId69" Type="http://schemas.openxmlformats.org/officeDocument/2006/relationships/hyperlink" Target="https://dailymed.nlm.nih.gov/dailymed/drugInfo.cfm?setid=a2d75d7d-a6d0-4489-85f7-a57c237ba5e2" TargetMode="External"/><Relationship Id="rId113" Type="http://schemas.openxmlformats.org/officeDocument/2006/relationships/hyperlink" Target="https://dailymed.nlm.nih.gov/dailymed/drugInfo.cfm?setid=a2d75d7d-a6d0-4489-85f7-a57c237ba5e2" TargetMode="External"/><Relationship Id="rId118" Type="http://schemas.openxmlformats.org/officeDocument/2006/relationships/hyperlink" Target="https://dailymed.nlm.nih.gov/dailymed/drugInfo.cfm?setid=a2d75d7d-a6d0-4489-85f7-a57c237ba5e2" TargetMode="External"/><Relationship Id="rId134" Type="http://schemas.openxmlformats.org/officeDocument/2006/relationships/hyperlink" Target="https://dailymed.nlm.nih.gov/dailymed/drugInfo.cfm?setid=a2d75d7d-a6d0-4489-85f7-a57c237ba5e2" TargetMode="External"/><Relationship Id="rId139" Type="http://schemas.openxmlformats.org/officeDocument/2006/relationships/hyperlink" Target="https://dailymed.nlm.nih.gov/dailymed/drugInfo.cfm?setid=a2d75d7d-a6d0-4489-85f7-a57c237ba5e2" TargetMode="External"/><Relationship Id="rId80" Type="http://schemas.openxmlformats.org/officeDocument/2006/relationships/hyperlink" Target="https://dailymed.nlm.nih.gov/dailymed/drugInfo.cfm?setid=a2d75d7d-a6d0-4489-85f7-a57c237ba5e2" TargetMode="External"/><Relationship Id="rId85" Type="http://schemas.openxmlformats.org/officeDocument/2006/relationships/hyperlink" Target="https://dailymed.nlm.nih.gov/dailymed/drugInfo.cfm?setid=a2d75d7d-a6d0-4489-85f7-a57c237ba5e2" TargetMode="External"/><Relationship Id="rId150" Type="http://schemas.openxmlformats.org/officeDocument/2006/relationships/hyperlink" Target="https://dailymed.nlm.nih.gov/dailymed/drugInfo.cfm?setid=a2d75d7d-a6d0-4489-85f7-a57c237ba5e2" TargetMode="External"/><Relationship Id="rId155" Type="http://schemas.openxmlformats.org/officeDocument/2006/relationships/hyperlink" Target="https://dailymed.nlm.nih.gov/dailymed/drugInfo.cfm?setid=a2d75d7d-a6d0-4489-85f7-a57c237ba5e2" TargetMode="External"/><Relationship Id="rId171" Type="http://schemas.openxmlformats.org/officeDocument/2006/relationships/hyperlink" Target="https://dailymed.nlm.nih.gov/dailymed/drugInfo.cfm?setid=a2d75d7d-a6d0-4489-85f7-a57c237ba5e2" TargetMode="External"/><Relationship Id="rId176" Type="http://schemas.openxmlformats.org/officeDocument/2006/relationships/hyperlink" Target="https://dailymed.nlm.nih.gov/dailymed/drugInfo.cfm?setid=a2d75d7d-a6d0-4489-85f7-a57c237ba5e2" TargetMode="External"/><Relationship Id="rId12" Type="http://schemas.openxmlformats.org/officeDocument/2006/relationships/hyperlink" Target="https://www.accessdata.fda.gov/scripts/medwatch/" TargetMode="External"/><Relationship Id="rId17" Type="http://schemas.openxmlformats.org/officeDocument/2006/relationships/hyperlink" Target="https://www.clinicaltrials.gov/ct/search?submit=Search&amp;term=CELECOXIB" TargetMode="External"/><Relationship Id="rId33" Type="http://schemas.openxmlformats.org/officeDocument/2006/relationships/hyperlink" Target="https://dailymed.nlm.nih.gov/dailymed/drugInfo.cfm?setid=a2d75d7d-a6d0-4489-85f7-a57c237ba5e2" TargetMode="External"/><Relationship Id="rId38" Type="http://schemas.openxmlformats.org/officeDocument/2006/relationships/hyperlink" Target="https://dailymed.nlm.nih.gov/dailymed/drugInfo.cfm?setid=a2d75d7d-a6d0-4489-85f7-a57c237ba5e2" TargetMode="External"/><Relationship Id="rId59" Type="http://schemas.openxmlformats.org/officeDocument/2006/relationships/hyperlink" Target="https://dailymed.nlm.nih.gov/dailymed/drugInfo.cfm?setid=a2d75d7d-a6d0-4489-85f7-a57c237ba5e2" TargetMode="External"/><Relationship Id="rId103" Type="http://schemas.openxmlformats.org/officeDocument/2006/relationships/hyperlink" Target="https://dailymed.nlm.nih.gov/dailymed/drugInfo.cfm?setid=a2d75d7d-a6d0-4489-85f7-a57c237ba5e2" TargetMode="External"/><Relationship Id="rId108" Type="http://schemas.openxmlformats.org/officeDocument/2006/relationships/hyperlink" Target="https://dailymed.nlm.nih.gov/dailymed/drugInfo.cfm?setid=a2d75d7d-a6d0-4489-85f7-a57c237ba5e2" TargetMode="External"/><Relationship Id="rId124" Type="http://schemas.openxmlformats.org/officeDocument/2006/relationships/hyperlink" Target="https://dailymed.nlm.nih.gov/dailymed/drugInfo.cfm?setid=a2d75d7d-a6d0-4489-85f7-a57c237ba5e2" TargetMode="External"/><Relationship Id="rId129" Type="http://schemas.openxmlformats.org/officeDocument/2006/relationships/hyperlink" Target="https://dailymed.nlm.nih.gov/dailymed/drugInfo.cfm?setid=a2d75d7d-a6d0-4489-85f7-a57c237ba5e2" TargetMode="External"/><Relationship Id="rId54" Type="http://schemas.openxmlformats.org/officeDocument/2006/relationships/hyperlink" Target="https://dailymed.nlm.nih.gov/dailymed/drugInfo.cfm?setid=a2d75d7d-a6d0-4489-85f7-a57c237ba5e2" TargetMode="External"/><Relationship Id="rId70" Type="http://schemas.openxmlformats.org/officeDocument/2006/relationships/hyperlink" Target="https://dailymed.nlm.nih.gov/dailymed/drugInfo.cfm?setid=a2d75d7d-a6d0-4489-85f7-a57c237ba5e2" TargetMode="External"/><Relationship Id="rId75" Type="http://schemas.openxmlformats.org/officeDocument/2006/relationships/hyperlink" Target="https://dailymed.nlm.nih.gov/dailymed/drugInfo.cfm?setid=a2d75d7d-a6d0-4489-85f7-a57c237ba5e2" TargetMode="External"/><Relationship Id="rId91" Type="http://schemas.openxmlformats.org/officeDocument/2006/relationships/hyperlink" Target="https://dailymed.nlm.nih.gov/dailymed/drugInfo.cfm?setid=a2d75d7d-a6d0-4489-85f7-a57c237ba5e2" TargetMode="External"/><Relationship Id="rId96" Type="http://schemas.openxmlformats.org/officeDocument/2006/relationships/hyperlink" Target="https://dailymed.nlm.nih.gov/dailymed/drugInfo.cfm?setid=a2d75d7d-a6d0-4489-85f7-a57c237ba5e2" TargetMode="External"/><Relationship Id="rId140" Type="http://schemas.openxmlformats.org/officeDocument/2006/relationships/hyperlink" Target="https://dailymed.nlm.nih.gov/dailymed/drugInfo.cfm?setid=a2d75d7d-a6d0-4489-85f7-a57c237ba5e2" TargetMode="External"/><Relationship Id="rId145" Type="http://schemas.openxmlformats.org/officeDocument/2006/relationships/hyperlink" Target="https://dailymed.nlm.nih.gov/dailymed/drugInfo.cfm?setid=a2d75d7d-a6d0-4489-85f7-a57c237ba5e2" TargetMode="External"/><Relationship Id="rId161" Type="http://schemas.openxmlformats.org/officeDocument/2006/relationships/hyperlink" Target="https://dailymed.nlm.nih.gov/dailymed/drugInfo.cfm?setid=a2d75d7d-a6d0-4489-85f7-a57c237ba5e2" TargetMode="External"/><Relationship Id="rId166" Type="http://schemas.openxmlformats.org/officeDocument/2006/relationships/hyperlink" Target="https://dailymed.nlm.nih.gov/dailymed/drugInfo.cfm?setid=a2d75d7d-a6d0-4489-85f7-a57c237ba5e2" TargetMode="External"/><Relationship Id="rId182" Type="http://schemas.openxmlformats.org/officeDocument/2006/relationships/hyperlink" Target="https://dailymed.nlm.nih.gov/dailymed/drugInfo.cfm?setid=a2d75d7d-a6d0-4489-85f7-a57c237ba5e2" TargetMode="External"/><Relationship Id="rId187"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dailymed.nlm.nih.gov/dailymed/drugInfo.cfm?setid=a2d75d7d-a6d0-4489-85f7-a57c237ba5e2" TargetMode="External"/><Relationship Id="rId23" Type="http://schemas.openxmlformats.org/officeDocument/2006/relationships/hyperlink" Target="https://dailymed.nlm.nih.gov/dailymed/drugInfo.cfm?setid=a2d75d7d-a6d0-4489-85f7-a57c237ba5e2" TargetMode="External"/><Relationship Id="rId28" Type="http://schemas.openxmlformats.org/officeDocument/2006/relationships/hyperlink" Target="https://dailymed.nlm.nih.gov/dailymed/medguide.cfm?setid=a2d75d7d-a6d0-4489-85f7-a57c237ba5e2" TargetMode="External"/><Relationship Id="rId49" Type="http://schemas.openxmlformats.org/officeDocument/2006/relationships/hyperlink" Target="https://dailymed.nlm.nih.gov/dailymed/drugInfo.cfm?setid=a2d75d7d-a6d0-4489-85f7-a57c237ba5e2" TargetMode="External"/><Relationship Id="rId114" Type="http://schemas.openxmlformats.org/officeDocument/2006/relationships/hyperlink" Target="https://dailymed.nlm.nih.gov/dailymed/drugInfo.cfm?setid=a2d75d7d-a6d0-4489-85f7-a57c237ba5e2" TargetMode="External"/><Relationship Id="rId119" Type="http://schemas.openxmlformats.org/officeDocument/2006/relationships/hyperlink" Target="https://dailymed.nlm.nih.gov/dailymed/drugInfo.cfm?setid=a2d75d7d-a6d0-4489-85f7-a57c237ba5e2" TargetMode="External"/><Relationship Id="rId44" Type="http://schemas.openxmlformats.org/officeDocument/2006/relationships/hyperlink" Target="https://dailymed.nlm.nih.gov/dailymed/drugInfo.cfm?setid=a2d75d7d-a6d0-4489-85f7-a57c237ba5e2" TargetMode="External"/><Relationship Id="rId60" Type="http://schemas.openxmlformats.org/officeDocument/2006/relationships/hyperlink" Target="https://dailymed.nlm.nih.gov/dailymed/drugInfo.cfm?setid=a2d75d7d-a6d0-4489-85f7-a57c237ba5e2" TargetMode="External"/><Relationship Id="rId65" Type="http://schemas.openxmlformats.org/officeDocument/2006/relationships/hyperlink" Target="https://dailymed.nlm.nih.gov/dailymed/drugInfo.cfm?setid=a2d75d7d-a6d0-4489-85f7-a57c237ba5e2" TargetMode="External"/><Relationship Id="rId81" Type="http://schemas.openxmlformats.org/officeDocument/2006/relationships/hyperlink" Target="https://dailymed.nlm.nih.gov/dailymed/drugInfo.cfm?setid=a2d75d7d-a6d0-4489-85f7-a57c237ba5e2" TargetMode="External"/><Relationship Id="rId86" Type="http://schemas.openxmlformats.org/officeDocument/2006/relationships/hyperlink" Target="https://dailymed.nlm.nih.gov/dailymed/drugInfo.cfm?setid=a2d75d7d-a6d0-4489-85f7-a57c237ba5e2" TargetMode="External"/><Relationship Id="rId130" Type="http://schemas.openxmlformats.org/officeDocument/2006/relationships/hyperlink" Target="https://dailymed.nlm.nih.gov/dailymed/drugInfo.cfm?setid=a2d75d7d-a6d0-4489-85f7-a57c237ba5e2" TargetMode="External"/><Relationship Id="rId135" Type="http://schemas.openxmlformats.org/officeDocument/2006/relationships/hyperlink" Target="https://dailymed.nlm.nih.gov/dailymed/drugInfo.cfm?setid=a2d75d7d-a6d0-4489-85f7-a57c237ba5e2" TargetMode="External"/><Relationship Id="rId151" Type="http://schemas.openxmlformats.org/officeDocument/2006/relationships/hyperlink" Target="https://dailymed.nlm.nih.gov/dailymed/drugInfo.cfm?setid=a2d75d7d-a6d0-4489-85f7-a57c237ba5e2" TargetMode="External"/><Relationship Id="rId156" Type="http://schemas.openxmlformats.org/officeDocument/2006/relationships/image" Target="media/image2.jpeg"/><Relationship Id="rId177" Type="http://schemas.openxmlformats.org/officeDocument/2006/relationships/hyperlink" Target="https://www.accessdata.fda.gov/scripts/medwatch/" TargetMode="External"/><Relationship Id="rId172" Type="http://schemas.openxmlformats.org/officeDocument/2006/relationships/hyperlink" Target="https://dailymed.nlm.nih.gov/dailymed/drugInfo.cfm?setid=a2d75d7d-a6d0-4489-85f7-a57c237ba5e2" TargetMode="External"/><Relationship Id="rId13" Type="http://schemas.openxmlformats.org/officeDocument/2006/relationships/hyperlink" Target="http://www.fda.gov/Safety/Recalls/" TargetMode="External"/><Relationship Id="rId18" Type="http://schemas.openxmlformats.org/officeDocument/2006/relationships/hyperlink" Target="https://dailymed.nlm.nih.gov/dailymed/drugInfo.cfm?setid=a2d75d7d-a6d0-4489-85f7-a57c237ba5e2" TargetMode="External"/><Relationship Id="rId39" Type="http://schemas.openxmlformats.org/officeDocument/2006/relationships/hyperlink" Target="https://dailymed.nlm.nih.gov/dailymed/drugInfo.cfm?setid=a2d75d7d-a6d0-4489-85f7-a57c237ba5e2" TargetMode="External"/><Relationship Id="rId109" Type="http://schemas.openxmlformats.org/officeDocument/2006/relationships/hyperlink" Target="https://dailymed.nlm.nih.gov/dailymed/drugInfo.cfm?setid=a2d75d7d-a6d0-4489-85f7-a57c237ba5e2" TargetMode="External"/><Relationship Id="rId34" Type="http://schemas.openxmlformats.org/officeDocument/2006/relationships/hyperlink" Target="https://dailymed.nlm.nih.gov/dailymed/drugInfo.cfm?setid=a2d75d7d-a6d0-4489-85f7-a57c237ba5e2" TargetMode="External"/><Relationship Id="rId50" Type="http://schemas.openxmlformats.org/officeDocument/2006/relationships/hyperlink" Target="https://dailymed.nlm.nih.gov/dailymed/drugInfo.cfm?setid=a2d75d7d-a6d0-4489-85f7-a57c237ba5e2" TargetMode="External"/><Relationship Id="rId55" Type="http://schemas.openxmlformats.org/officeDocument/2006/relationships/hyperlink" Target="https://dailymed.nlm.nih.gov/dailymed/drugInfo.cfm?setid=a2d75d7d-a6d0-4489-85f7-a57c237ba5e2" TargetMode="External"/><Relationship Id="rId76" Type="http://schemas.openxmlformats.org/officeDocument/2006/relationships/hyperlink" Target="https://dailymed.nlm.nih.gov/dailymed/drugInfo.cfm?setid=a2d75d7d-a6d0-4489-85f7-a57c237ba5e2" TargetMode="External"/><Relationship Id="rId97" Type="http://schemas.openxmlformats.org/officeDocument/2006/relationships/hyperlink" Target="https://dailymed.nlm.nih.gov/dailymed/drugInfo.cfm?setid=a2d75d7d-a6d0-4489-85f7-a57c237ba5e2" TargetMode="External"/><Relationship Id="rId104" Type="http://schemas.openxmlformats.org/officeDocument/2006/relationships/hyperlink" Target="https://dailymed.nlm.nih.gov/dailymed/drugInfo.cfm?setid=a2d75d7d-a6d0-4489-85f7-a57c237ba5e2" TargetMode="External"/><Relationship Id="rId120" Type="http://schemas.openxmlformats.org/officeDocument/2006/relationships/hyperlink" Target="https://dailymed.nlm.nih.gov/dailymed/drugInfo.cfm?setid=a2d75d7d-a6d0-4489-85f7-a57c237ba5e2" TargetMode="External"/><Relationship Id="rId125" Type="http://schemas.openxmlformats.org/officeDocument/2006/relationships/hyperlink" Target="https://dailymed.nlm.nih.gov/dailymed/drugInfo.cfm?setid=a2d75d7d-a6d0-4489-85f7-a57c237ba5e2" TargetMode="External"/><Relationship Id="rId141" Type="http://schemas.openxmlformats.org/officeDocument/2006/relationships/hyperlink" Target="https://dailymed.nlm.nih.gov/dailymed/drugInfo.cfm?setid=a2d75d7d-a6d0-4489-85f7-a57c237ba5e2" TargetMode="External"/><Relationship Id="rId146" Type="http://schemas.openxmlformats.org/officeDocument/2006/relationships/hyperlink" Target="https://dailymed.nlm.nih.gov/dailymed/drugInfo.cfm?setid=a2d75d7d-a6d0-4489-85f7-a57c237ba5e2" TargetMode="External"/><Relationship Id="rId167" Type="http://schemas.openxmlformats.org/officeDocument/2006/relationships/hyperlink" Target="https://dailymed.nlm.nih.gov/dailymed/drugInfo.cfm?setid=a2d75d7d-a6d0-4489-85f7-a57c237ba5e2" TargetMode="External"/><Relationship Id="rId188" Type="http://schemas.openxmlformats.org/officeDocument/2006/relationships/theme" Target="theme/theme1.xml"/><Relationship Id="rId7" Type="http://schemas.openxmlformats.org/officeDocument/2006/relationships/hyperlink" Target="https://dailymed.nlm.nih.gov/dailymed/image.cfm?type=img&amp;name=Celecoxib+400+mg.jpg&amp;setid=a2d75d7d-a6d0-4489-85f7-a57c237ba5e2" TargetMode="External"/><Relationship Id="rId71" Type="http://schemas.openxmlformats.org/officeDocument/2006/relationships/hyperlink" Target="https://dailymed.nlm.nih.gov/dailymed/drugInfo.cfm?setid=a2d75d7d-a6d0-4489-85f7-a57c237ba5e2" TargetMode="External"/><Relationship Id="rId92" Type="http://schemas.openxmlformats.org/officeDocument/2006/relationships/hyperlink" Target="https://dailymed.nlm.nih.gov/dailymed/drugInfo.cfm?setid=a2d75d7d-a6d0-4489-85f7-a57c237ba5e2" TargetMode="External"/><Relationship Id="rId162" Type="http://schemas.openxmlformats.org/officeDocument/2006/relationships/hyperlink" Target="https://dailymed.nlm.nih.gov/dailymed/drugInfo.cfm?setid=a2d75d7d-a6d0-4489-85f7-a57c237ba5e2" TargetMode="External"/><Relationship Id="rId183" Type="http://schemas.openxmlformats.org/officeDocument/2006/relationships/hyperlink" Target="http://www.drugbank.ca/search?utf8=%E2%9C%93&amp;query=APRD00373&amp;search_type=drugs&amp;button=" TargetMode="External"/><Relationship Id="rId2" Type="http://schemas.openxmlformats.org/officeDocument/2006/relationships/styles" Target="styles.xml"/><Relationship Id="rId29" Type="http://schemas.openxmlformats.org/officeDocument/2006/relationships/hyperlink" Target="https://dailymed.nlm.nih.gov/dailymed/fda/fdaDrugXsl.cfm?setid=a2d75d7d-a6d0-4489-85f7-a57c237ba5e2&amp;type=display" TargetMode="External"/><Relationship Id="rId24" Type="http://schemas.openxmlformats.org/officeDocument/2006/relationships/hyperlink" Target="https://dailymed.nlm.nih.gov/dailymed/drugInfo.cfm?setid=a2d75d7d-a6d0-4489-85f7-a57c237ba5e2" TargetMode="External"/><Relationship Id="rId40" Type="http://schemas.openxmlformats.org/officeDocument/2006/relationships/hyperlink" Target="https://dailymed.nlm.nih.gov/dailymed/drugInfo.cfm?setid=a2d75d7d-a6d0-4489-85f7-a57c237ba5e2" TargetMode="External"/><Relationship Id="rId45" Type="http://schemas.openxmlformats.org/officeDocument/2006/relationships/hyperlink" Target="https://dailymed.nlm.nih.gov/dailymed/drugInfo.cfm?setid=a2d75d7d-a6d0-4489-85f7-a57c237ba5e2" TargetMode="External"/><Relationship Id="rId66" Type="http://schemas.openxmlformats.org/officeDocument/2006/relationships/hyperlink" Target="https://dailymed.nlm.nih.gov/dailymed/drugInfo.cfm?setid=a2d75d7d-a6d0-4489-85f7-a57c237ba5e2" TargetMode="External"/><Relationship Id="rId87" Type="http://schemas.openxmlformats.org/officeDocument/2006/relationships/hyperlink" Target="https://dailymed.nlm.nih.gov/dailymed/drugInfo.cfm?setid=a2d75d7d-a6d0-4489-85f7-a57c237ba5e2" TargetMode="External"/><Relationship Id="rId110" Type="http://schemas.openxmlformats.org/officeDocument/2006/relationships/hyperlink" Target="https://dailymed.nlm.nih.gov/dailymed/drugInfo.cfm?setid=a2d75d7d-a6d0-4489-85f7-a57c237ba5e2" TargetMode="External"/><Relationship Id="rId115" Type="http://schemas.openxmlformats.org/officeDocument/2006/relationships/hyperlink" Target="https://dailymed.nlm.nih.gov/dailymed/drugInfo.cfm?setid=a2d75d7d-a6d0-4489-85f7-a57c237ba5e2" TargetMode="External"/><Relationship Id="rId131" Type="http://schemas.openxmlformats.org/officeDocument/2006/relationships/hyperlink" Target="https://dailymed.nlm.nih.gov/dailymed/drugInfo.cfm?setid=a2d75d7d-a6d0-4489-85f7-a57c237ba5e2" TargetMode="External"/><Relationship Id="rId136" Type="http://schemas.openxmlformats.org/officeDocument/2006/relationships/hyperlink" Target="https://dailymed.nlm.nih.gov/dailymed/drugInfo.cfm?setid=a2d75d7d-a6d0-4489-85f7-a57c237ba5e2" TargetMode="External"/><Relationship Id="rId157" Type="http://schemas.openxmlformats.org/officeDocument/2006/relationships/hyperlink" Target="https://dailymed.nlm.nih.gov/dailymed/drugInfo.cfm?setid=a2d75d7d-a6d0-4489-85f7-a57c237ba5e2" TargetMode="External"/><Relationship Id="rId178" Type="http://schemas.openxmlformats.org/officeDocument/2006/relationships/hyperlink" Target="http://www.fda.gov/Safety/Recalls/" TargetMode="External"/><Relationship Id="rId61" Type="http://schemas.openxmlformats.org/officeDocument/2006/relationships/hyperlink" Target="https://dailymed.nlm.nih.gov/dailymed/drugInfo.cfm?setid=a2d75d7d-a6d0-4489-85f7-a57c237ba5e2" TargetMode="External"/><Relationship Id="rId82" Type="http://schemas.openxmlformats.org/officeDocument/2006/relationships/hyperlink" Target="https://dailymed.nlm.nih.gov/dailymed/drugInfo.cfm?setid=a2d75d7d-a6d0-4489-85f7-a57c237ba5e2" TargetMode="External"/><Relationship Id="rId152" Type="http://schemas.openxmlformats.org/officeDocument/2006/relationships/hyperlink" Target="https://dailymed.nlm.nih.gov/dailymed/drugInfo.cfm?setid=a2d75d7d-a6d0-4489-85f7-a57c237ba5e2" TargetMode="External"/><Relationship Id="rId173" Type="http://schemas.openxmlformats.org/officeDocument/2006/relationships/hyperlink" Target="https://dailymed.nlm.nih.gov/dailymed/drugInfo.cfm?setid=a2d75d7d-a6d0-4489-85f7-a57c237ba5e2" TargetMode="External"/><Relationship Id="rId19" Type="http://schemas.openxmlformats.org/officeDocument/2006/relationships/hyperlink" Target="http://www.drugbank.ca/search?utf8=%E2%9C%93&amp;query=APRD00373&amp;search_type=drugs&amp;button=" TargetMode="External"/><Relationship Id="rId14" Type="http://schemas.openxmlformats.org/officeDocument/2006/relationships/hyperlink" Target="http://toxnet.nlm.nih.gov/cgi-bin/sis/search2/r?dbs+lactmed:@or+%28@na+%22CELECOXIB%22+%29" TargetMode="External"/><Relationship Id="rId30" Type="http://schemas.openxmlformats.org/officeDocument/2006/relationships/hyperlink" Target="https://dailymed.nlm.nih.gov/dailymed/drugInfo.cfm?setid=a2d75d7d-a6d0-4489-85f7-a57c237ba5e2" TargetMode="External"/><Relationship Id="rId35" Type="http://schemas.openxmlformats.org/officeDocument/2006/relationships/hyperlink" Target="https://dailymed.nlm.nih.gov/dailymed/drugInfo.cfm?setid=a2d75d7d-a6d0-4489-85f7-a57c237ba5e2" TargetMode="External"/><Relationship Id="rId56" Type="http://schemas.openxmlformats.org/officeDocument/2006/relationships/hyperlink" Target="https://dailymed.nlm.nih.gov/dailymed/drugInfo.cfm?setid=a2d75d7d-a6d0-4489-85f7-a57c237ba5e2" TargetMode="External"/><Relationship Id="rId77" Type="http://schemas.openxmlformats.org/officeDocument/2006/relationships/hyperlink" Target="https://dailymed.nlm.nih.gov/dailymed/drugInfo.cfm?setid=a2d75d7d-a6d0-4489-85f7-a57c237ba5e2" TargetMode="External"/><Relationship Id="rId100" Type="http://schemas.openxmlformats.org/officeDocument/2006/relationships/hyperlink" Target="https://dailymed.nlm.nih.gov/dailymed/drugInfo.cfm?setid=a2d75d7d-a6d0-4489-85f7-a57c237ba5e2" TargetMode="External"/><Relationship Id="rId105" Type="http://schemas.openxmlformats.org/officeDocument/2006/relationships/hyperlink" Target="https://dailymed.nlm.nih.gov/dailymed/drugInfo.cfm?setid=a2d75d7d-a6d0-4489-85f7-a57c237ba5e2" TargetMode="External"/><Relationship Id="rId126" Type="http://schemas.openxmlformats.org/officeDocument/2006/relationships/hyperlink" Target="https://dailymed.nlm.nih.gov/dailymed/drugInfo.cfm?setid=a2d75d7d-a6d0-4489-85f7-a57c237ba5e2" TargetMode="External"/><Relationship Id="rId147" Type="http://schemas.openxmlformats.org/officeDocument/2006/relationships/hyperlink" Target="https://dailymed.nlm.nih.gov/dailymed/drugInfo.cfm?setid=a2d75d7d-a6d0-4489-85f7-a57c237ba5e2" TargetMode="External"/><Relationship Id="rId168" Type="http://schemas.openxmlformats.org/officeDocument/2006/relationships/hyperlink" Target="https://dailymed.nlm.nih.gov/dailymed/drugInfo.cfm?setid=a2d75d7d-a6d0-4489-85f7-a57c237ba5e2" TargetMode="External"/><Relationship Id="rId8" Type="http://schemas.openxmlformats.org/officeDocument/2006/relationships/image" Target="media/image1.jpeg"/><Relationship Id="rId51" Type="http://schemas.openxmlformats.org/officeDocument/2006/relationships/hyperlink" Target="https://dailymed.nlm.nih.gov/dailymed/drugInfo.cfm?setid=a2d75d7d-a6d0-4489-85f7-a57c237ba5e2" TargetMode="External"/><Relationship Id="rId72" Type="http://schemas.openxmlformats.org/officeDocument/2006/relationships/hyperlink" Target="https://dailymed.nlm.nih.gov/dailymed/drugInfo.cfm?setid=a2d75d7d-a6d0-4489-85f7-a57c237ba5e2" TargetMode="External"/><Relationship Id="rId93" Type="http://schemas.openxmlformats.org/officeDocument/2006/relationships/hyperlink" Target="https://dailymed.nlm.nih.gov/dailymed/drugInfo.cfm?setid=a2d75d7d-a6d0-4489-85f7-a57c237ba5e2" TargetMode="External"/><Relationship Id="rId98" Type="http://schemas.openxmlformats.org/officeDocument/2006/relationships/hyperlink" Target="https://dailymed.nlm.nih.gov/dailymed/drugInfo.cfm?setid=a2d75d7d-a6d0-4489-85f7-a57c237ba5e2" TargetMode="External"/><Relationship Id="rId121" Type="http://schemas.openxmlformats.org/officeDocument/2006/relationships/hyperlink" Target="https://dailymed.nlm.nih.gov/dailymed/drugInfo.cfm?setid=a2d75d7d-a6d0-4489-85f7-a57c237ba5e2" TargetMode="External"/><Relationship Id="rId142" Type="http://schemas.openxmlformats.org/officeDocument/2006/relationships/hyperlink" Target="https://dailymed.nlm.nih.gov/dailymed/drugInfo.cfm?setid=a2d75d7d-a6d0-4489-85f7-a57c237ba5e2" TargetMode="External"/><Relationship Id="rId163" Type="http://schemas.openxmlformats.org/officeDocument/2006/relationships/hyperlink" Target="https://dailymed.nlm.nih.gov/dailymed/drugInfo.cfm?setid=a2d75d7d-a6d0-4489-85f7-a57c237ba5e2" TargetMode="External"/><Relationship Id="rId184" Type="http://schemas.openxmlformats.org/officeDocument/2006/relationships/hyperlink" Target="https://dailymed.nlm.nih.gov/dailymed/drugInfo.cfm?setid=a2d75d7d-a6d0-4489-85f7-a57c237ba5e2" TargetMode="External"/><Relationship Id="rId3" Type="http://schemas.microsoft.com/office/2007/relationships/stylesWithEffects" Target="stylesWithEffects.xml"/><Relationship Id="rId25" Type="http://schemas.openxmlformats.org/officeDocument/2006/relationships/hyperlink" Target="https://dailymed.nlm.nih.gov/dailymed/drugInfo.cfm?setid=a2d75d7d-a6d0-4489-85f7-a57c237ba5e2&amp;audience=consumer" TargetMode="External"/><Relationship Id="rId46" Type="http://schemas.openxmlformats.org/officeDocument/2006/relationships/hyperlink" Target="https://dailymed.nlm.nih.gov/dailymed/drugInfo.cfm?setid=a2d75d7d-a6d0-4489-85f7-a57c237ba5e2" TargetMode="External"/><Relationship Id="rId67" Type="http://schemas.openxmlformats.org/officeDocument/2006/relationships/hyperlink" Target="https://dailymed.nlm.nih.gov/dailymed/drugInfo.cfm?setid=a2d75d7d-a6d0-4489-85f7-a57c237ba5e2" TargetMode="External"/><Relationship Id="rId116" Type="http://schemas.openxmlformats.org/officeDocument/2006/relationships/hyperlink" Target="https://dailymed.nlm.nih.gov/dailymed/drugInfo.cfm?setid=a2d75d7d-a6d0-4489-85f7-a57c237ba5e2" TargetMode="External"/><Relationship Id="rId137" Type="http://schemas.openxmlformats.org/officeDocument/2006/relationships/hyperlink" Target="https://dailymed.nlm.nih.gov/dailymed/drugInfo.cfm?setid=a2d75d7d-a6d0-4489-85f7-a57c237ba5e2" TargetMode="External"/><Relationship Id="rId158" Type="http://schemas.openxmlformats.org/officeDocument/2006/relationships/hyperlink" Target="https://dailymed.nlm.nih.gov/dailymed/drugInfo.cfm?setid=a2d75d7d-a6d0-4489-85f7-a57c237ba5e2" TargetMode="External"/><Relationship Id="rId20" Type="http://schemas.openxmlformats.org/officeDocument/2006/relationships/hyperlink" Target="https://dailymed.nlm.nih.gov/dailymed/drugInfo.cfm?setid=a2d75d7d-a6d0-4489-85f7-a57c237ba5e2" TargetMode="External"/><Relationship Id="rId41" Type="http://schemas.openxmlformats.org/officeDocument/2006/relationships/hyperlink" Target="https://dailymed.nlm.nih.gov/dailymed/drugInfo.cfm?setid=a2d75d7d-a6d0-4489-85f7-a57c237ba5e2" TargetMode="External"/><Relationship Id="rId62" Type="http://schemas.openxmlformats.org/officeDocument/2006/relationships/hyperlink" Target="https://dailymed.nlm.nih.gov/dailymed/drugInfo.cfm?setid=a2d75d7d-a6d0-4489-85f7-a57c237ba5e2" TargetMode="External"/><Relationship Id="rId83" Type="http://schemas.openxmlformats.org/officeDocument/2006/relationships/hyperlink" Target="https://dailymed.nlm.nih.gov/dailymed/drugInfo.cfm?setid=a2d75d7d-a6d0-4489-85f7-a57c237ba5e2" TargetMode="External"/><Relationship Id="rId88" Type="http://schemas.openxmlformats.org/officeDocument/2006/relationships/hyperlink" Target="https://dailymed.nlm.nih.gov/dailymed/drugInfo.cfm?setid=a2d75d7d-a6d0-4489-85f7-a57c237ba5e2" TargetMode="External"/><Relationship Id="rId111" Type="http://schemas.openxmlformats.org/officeDocument/2006/relationships/hyperlink" Target="https://dailymed.nlm.nih.gov/dailymed/drugInfo.cfm?setid=a2d75d7d-a6d0-4489-85f7-a57c237ba5e2" TargetMode="External"/><Relationship Id="rId132" Type="http://schemas.openxmlformats.org/officeDocument/2006/relationships/hyperlink" Target="https://dailymed.nlm.nih.gov/dailymed/drugInfo.cfm?setid=a2d75d7d-a6d0-4489-85f7-a57c237ba5e2" TargetMode="External"/><Relationship Id="rId153" Type="http://schemas.openxmlformats.org/officeDocument/2006/relationships/hyperlink" Target="https://dailymed.nlm.nih.gov/dailymed/drugInfo.cfm?setid=a2d75d7d-a6d0-4489-85f7-a57c237ba5e2" TargetMode="External"/><Relationship Id="rId174" Type="http://schemas.openxmlformats.org/officeDocument/2006/relationships/hyperlink" Target="https://dailymed.nlm.nih.gov/dailymed/drugInfo.cfm?setid=a2d75d7d-a6d0-4489-85f7-a57c237ba5e2" TargetMode="External"/><Relationship Id="rId179" Type="http://schemas.openxmlformats.org/officeDocument/2006/relationships/hyperlink" Target="http://toxnet.nlm.nih.gov/cgi-bin/sis/search2/r?dbs+lactmed:@or+%28@na+%22CELECOXIB%22+%29" TargetMode="External"/><Relationship Id="rId15" Type="http://schemas.openxmlformats.org/officeDocument/2006/relationships/hyperlink" Target="https://dailymed.nlm.nih.gov/dailymed/drugInfo.cfm?setid=a2d75d7d-a6d0-4489-85f7-a57c237ba5e2" TargetMode="External"/><Relationship Id="rId36" Type="http://schemas.openxmlformats.org/officeDocument/2006/relationships/hyperlink" Target="https://dailymed.nlm.nih.gov/dailymed/drugInfo.cfm?setid=a2d75d7d-a6d0-4489-85f7-a57c237ba5e2" TargetMode="External"/><Relationship Id="rId57" Type="http://schemas.openxmlformats.org/officeDocument/2006/relationships/hyperlink" Target="https://dailymed.nlm.nih.gov/dailymed/drugInfo.cfm?setid=a2d75d7d-a6d0-4489-85f7-a57c237ba5e2" TargetMode="External"/><Relationship Id="rId106" Type="http://schemas.openxmlformats.org/officeDocument/2006/relationships/hyperlink" Target="https://dailymed.nlm.nih.gov/dailymed/drugInfo.cfm?setid=a2d75d7d-a6d0-4489-85f7-a57c237ba5e2" TargetMode="External"/><Relationship Id="rId127" Type="http://schemas.openxmlformats.org/officeDocument/2006/relationships/hyperlink" Target="https://dailymed.nlm.nih.gov/dailymed/drugInfo.cfm?setid=a2d75d7d-a6d0-4489-85f7-a57c237ba5e2" TargetMode="External"/><Relationship Id="rId10" Type="http://schemas.openxmlformats.org/officeDocument/2006/relationships/hyperlink" Target="https://dailymed.nlm.nih.gov/dailymed/drugInfo.cfm?setid=a2d75d7d-a6d0-4489-85f7-a57c237ba5e2" TargetMode="External"/><Relationship Id="rId31" Type="http://schemas.openxmlformats.org/officeDocument/2006/relationships/hyperlink" Target="https://dailymed.nlm.nih.gov/dailymed/drugInfo.cfm?setid=a2d75d7d-a6d0-4489-85f7-a57c237ba5e2" TargetMode="External"/><Relationship Id="rId52" Type="http://schemas.openxmlformats.org/officeDocument/2006/relationships/hyperlink" Target="https://dailymed.nlm.nih.gov/dailymed/drugInfo.cfm?setid=a2d75d7d-a6d0-4489-85f7-a57c237ba5e2" TargetMode="External"/><Relationship Id="rId73" Type="http://schemas.openxmlformats.org/officeDocument/2006/relationships/hyperlink" Target="https://dailymed.nlm.nih.gov/dailymed/drugInfo.cfm?setid=a2d75d7d-a6d0-4489-85f7-a57c237ba5e2" TargetMode="External"/><Relationship Id="rId78" Type="http://schemas.openxmlformats.org/officeDocument/2006/relationships/hyperlink" Target="https://dailymed.nlm.nih.gov/dailymed/drugInfo.cfm?setid=a2d75d7d-a6d0-4489-85f7-a57c237ba5e2" TargetMode="External"/><Relationship Id="rId94" Type="http://schemas.openxmlformats.org/officeDocument/2006/relationships/hyperlink" Target="https://dailymed.nlm.nih.gov/dailymed/drugInfo.cfm?setid=a2d75d7d-a6d0-4489-85f7-a57c237ba5e2" TargetMode="External"/><Relationship Id="rId99" Type="http://schemas.openxmlformats.org/officeDocument/2006/relationships/hyperlink" Target="https://dailymed.nlm.nih.gov/dailymed/drugInfo.cfm?setid=a2d75d7d-a6d0-4489-85f7-a57c237ba5e2" TargetMode="External"/><Relationship Id="rId101" Type="http://schemas.openxmlformats.org/officeDocument/2006/relationships/hyperlink" Target="https://dailymed.nlm.nih.gov/dailymed/drugInfo.cfm?setid=a2d75d7d-a6d0-4489-85f7-a57c237ba5e2" TargetMode="External"/><Relationship Id="rId122" Type="http://schemas.openxmlformats.org/officeDocument/2006/relationships/hyperlink" Target="https://dailymed.nlm.nih.gov/dailymed/drugInfo.cfm?setid=a2d75d7d-a6d0-4489-85f7-a57c237ba5e2" TargetMode="External"/><Relationship Id="rId143" Type="http://schemas.openxmlformats.org/officeDocument/2006/relationships/hyperlink" Target="https://dailymed.nlm.nih.gov/dailymed/drugInfo.cfm?setid=a2d75d7d-a6d0-4489-85f7-a57c237ba5e2" TargetMode="External"/><Relationship Id="rId148" Type="http://schemas.openxmlformats.org/officeDocument/2006/relationships/hyperlink" Target="https://dailymed.nlm.nih.gov/dailymed/drugInfo.cfm?setid=a2d75d7d-a6d0-4489-85f7-a57c237ba5e2" TargetMode="External"/><Relationship Id="rId164" Type="http://schemas.openxmlformats.org/officeDocument/2006/relationships/hyperlink" Target="https://dailymed.nlm.nih.gov/dailymed/drugInfo.cfm?setid=a2d75d7d-a6d0-4489-85f7-a57c237ba5e2" TargetMode="External"/><Relationship Id="rId169" Type="http://schemas.openxmlformats.org/officeDocument/2006/relationships/hyperlink" Target="https://dailymed.nlm.nih.gov/dailymed/drugInfo.cfm?setid=a2d75d7d-a6d0-4489-85f7-a57c237ba5e2" TargetMode="External"/><Relationship Id="rId185" Type="http://schemas.openxmlformats.org/officeDocument/2006/relationships/hyperlink" Target="https://dailymed.nlm.nih.gov/dailymed/drugInfo.cfm?setid=a2d75d7d-a6d0-4489-85f7-a57c237ba5e2" TargetMode="External"/><Relationship Id="rId4" Type="http://schemas.openxmlformats.org/officeDocument/2006/relationships/settings" Target="settings.xml"/><Relationship Id="rId9" Type="http://schemas.openxmlformats.org/officeDocument/2006/relationships/hyperlink" Target="https://dailymed.nlm.nih.gov/dailymed/drugInfo.cfm?setid=a2d75d7d-a6d0-4489-85f7-a57c237ba5e2" TargetMode="External"/><Relationship Id="rId180" Type="http://schemas.openxmlformats.org/officeDocument/2006/relationships/hyperlink" Target="http://vsearch.nlm.nih.gov/vivisimo/cgi-bin/query-meta?v:project=medlineplus&amp;query=CELECOXIB"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488</TotalTime>
  <Pages>15</Pages>
  <Words>16367</Words>
  <Characters>93293</Characters>
  <Application>Microsoft Office Word</Application>
  <DocSecurity>0</DocSecurity>
  <Lines>777</Lines>
  <Paragraphs>218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109442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2017-01-27T21:01:00Z</dcterms:created>
  <dcterms:modified xsi:type="dcterms:W3CDTF">2017-01-28T05:09:00Z</dcterms:modified>
</cp:coreProperties>
</file>