
<file path=[Content_Types].xml><?xml version="1.0" encoding="utf-8"?>
<Types xmlns="http://schemas.openxmlformats.org/package/2006/content-types">
  <Default Extension="png" ContentType="image/png"/>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5196" w:rsidRPr="00285196" w:rsidRDefault="00285196" w:rsidP="00285196">
      <w:pPr>
        <w:numPr>
          <w:ilvl w:val="0"/>
          <w:numId w:val="1"/>
        </w:numPr>
        <w:spacing w:after="0" w:line="240" w:lineRule="auto"/>
        <w:ind w:left="900"/>
        <w:textAlignment w:val="baseline"/>
        <w:rPr>
          <w:rFonts w:ascii="inherit" w:eastAsia="Times New Roman" w:hAnsi="inherit" w:cs="Times New Roman"/>
          <w:caps/>
          <w:sz w:val="18"/>
          <w:szCs w:val="18"/>
          <w:lang w:eastAsia="tr-TR"/>
        </w:rPr>
      </w:pPr>
      <w:r w:rsidRPr="00285196">
        <w:rPr>
          <w:rFonts w:ascii="inherit" w:eastAsia="Times New Roman" w:hAnsi="inherit" w:cs="Times New Roman"/>
          <w:caps/>
          <w:sz w:val="18"/>
          <w:szCs w:val="18"/>
          <w:lang w:eastAsia="tr-TR"/>
        </w:rPr>
        <w:fldChar w:fldCharType="begin"/>
      </w:r>
      <w:r w:rsidRPr="00285196">
        <w:rPr>
          <w:rFonts w:ascii="inherit" w:eastAsia="Times New Roman" w:hAnsi="inherit" w:cs="Times New Roman"/>
          <w:caps/>
          <w:sz w:val="18"/>
          <w:szCs w:val="18"/>
          <w:lang w:eastAsia="tr-TR"/>
        </w:rPr>
        <w:instrText xml:space="preserve"> HYPERLINK "https://www.accessdata.fda.gov/scripts/medwatch/" \o "Report Adverse Events" \t "_blank" </w:instrText>
      </w:r>
      <w:r w:rsidRPr="00285196">
        <w:rPr>
          <w:rFonts w:ascii="inherit" w:eastAsia="Times New Roman" w:hAnsi="inherit" w:cs="Times New Roman"/>
          <w:caps/>
          <w:sz w:val="18"/>
          <w:szCs w:val="18"/>
          <w:lang w:eastAsia="tr-TR"/>
        </w:rPr>
        <w:fldChar w:fldCharType="separate"/>
      </w:r>
      <w:r w:rsidRPr="00285196">
        <w:rPr>
          <w:rFonts w:ascii="inherit" w:eastAsia="Times New Roman" w:hAnsi="inherit" w:cs="Times New Roman"/>
          <w:caps/>
          <w:color w:val="FFFFFF"/>
          <w:sz w:val="18"/>
          <w:szCs w:val="18"/>
          <w:bdr w:val="none" w:sz="0" w:space="0" w:color="auto" w:frame="1"/>
          <w:lang w:eastAsia="tr-TR"/>
        </w:rPr>
        <w:br/>
      </w:r>
      <w:r w:rsidRPr="00285196">
        <w:rPr>
          <w:rFonts w:ascii="inherit" w:eastAsia="Times New Roman" w:hAnsi="inherit" w:cs="Times New Roman"/>
          <w:caps/>
          <w:color w:val="FFFFFF"/>
          <w:sz w:val="18"/>
          <w:szCs w:val="18"/>
          <w:u w:val="single"/>
          <w:bdr w:val="none" w:sz="0" w:space="0" w:color="auto" w:frame="1"/>
          <w:lang w:eastAsia="tr-TR"/>
        </w:rPr>
        <w:t>REPORT ADVERSE EVENTS</w:t>
      </w:r>
      <w:r w:rsidRPr="00285196">
        <w:rPr>
          <w:rFonts w:ascii="inherit" w:eastAsia="Times New Roman" w:hAnsi="inherit" w:cs="Times New Roman"/>
          <w:caps/>
          <w:color w:val="FFFFFF"/>
          <w:sz w:val="18"/>
          <w:szCs w:val="18"/>
          <w:bdr w:val="none" w:sz="0" w:space="0" w:color="auto" w:frame="1"/>
          <w:lang w:eastAsia="tr-TR"/>
        </w:rPr>
        <w:t> </w:t>
      </w:r>
      <w:r w:rsidRPr="00285196">
        <w:rPr>
          <w:rFonts w:ascii="inherit" w:eastAsia="Times New Roman" w:hAnsi="inherit" w:cs="Times New Roman"/>
          <w:caps/>
          <w:sz w:val="18"/>
          <w:szCs w:val="18"/>
          <w:lang w:eastAsia="tr-TR"/>
        </w:rPr>
        <w:fldChar w:fldCharType="end"/>
      </w:r>
      <w:r w:rsidRPr="00285196">
        <w:rPr>
          <w:rFonts w:ascii="inherit" w:eastAsia="Times New Roman" w:hAnsi="inherit" w:cs="Times New Roman"/>
          <w:caps/>
          <w:sz w:val="18"/>
          <w:szCs w:val="18"/>
          <w:bdr w:val="none" w:sz="0" w:space="0" w:color="auto" w:frame="1"/>
          <w:lang w:eastAsia="tr-TR"/>
        </w:rPr>
        <w:t>|</w:t>
      </w:r>
      <w:hyperlink r:id="rId6" w:tgtFrame="_blank" w:tooltip="FDA Safety Reporting and Recalls" w:history="1">
        <w:r w:rsidRPr="00285196">
          <w:rPr>
            <w:rFonts w:ascii="inherit" w:eastAsia="Times New Roman" w:hAnsi="inherit" w:cs="Times New Roman"/>
            <w:caps/>
            <w:color w:val="FFFFFF"/>
            <w:sz w:val="18"/>
            <w:szCs w:val="18"/>
            <w:u w:val="single"/>
            <w:bdr w:val="none" w:sz="0" w:space="0" w:color="auto" w:frame="1"/>
            <w:lang w:eastAsia="tr-TR"/>
          </w:rPr>
          <w:t>RECALLS</w:t>
        </w:r>
      </w:hyperlink>
    </w:p>
    <w:p w:rsidR="00285196" w:rsidRPr="00285196" w:rsidRDefault="00285196" w:rsidP="00285196">
      <w:pPr>
        <w:shd w:val="clear" w:color="auto" w:fill="EDF9FF"/>
        <w:spacing w:after="0" w:line="240" w:lineRule="auto"/>
        <w:ind w:left="150" w:right="150"/>
        <w:textAlignment w:val="baseline"/>
        <w:outlineLvl w:val="0"/>
        <w:rPr>
          <w:rFonts w:ascii="Arial" w:eastAsia="Times New Roman" w:hAnsi="Arial" w:cs="Arial"/>
          <w:caps/>
          <w:color w:val="173F54"/>
          <w:kern w:val="36"/>
          <w:sz w:val="39"/>
          <w:szCs w:val="39"/>
          <w:lang w:eastAsia="tr-TR"/>
        </w:rPr>
      </w:pPr>
      <w:r w:rsidRPr="00285196">
        <w:rPr>
          <w:rFonts w:ascii="Arial" w:eastAsia="Times New Roman" w:hAnsi="Arial" w:cs="Arial"/>
          <w:caps/>
          <w:color w:val="173F54"/>
          <w:kern w:val="36"/>
          <w:sz w:val="39"/>
          <w:szCs w:val="39"/>
          <w:lang w:eastAsia="tr-TR"/>
        </w:rPr>
        <w:t>LABEL: </w:t>
      </w:r>
      <w:r w:rsidRPr="00285196">
        <w:rPr>
          <w:rFonts w:ascii="Times New Roman" w:eastAsia="Times New Roman" w:hAnsi="Times New Roman" w:cs="Times New Roman"/>
          <w:color w:val="1D86BB"/>
          <w:kern w:val="36"/>
          <w:sz w:val="30"/>
          <w:szCs w:val="30"/>
          <w:bdr w:val="none" w:sz="0" w:space="0" w:color="auto" w:frame="1"/>
          <w:lang w:eastAsia="tr-TR"/>
        </w:rPr>
        <w:t>DECITABINE- decitabine injection, powder, lyophilized, for solution</w:t>
      </w:r>
      <w:r w:rsidRPr="00285196">
        <w:rPr>
          <w:rFonts w:ascii="Arial" w:eastAsia="Times New Roman" w:hAnsi="Arial" w:cs="Arial"/>
          <w:color w:val="1D86BB"/>
          <w:kern w:val="36"/>
          <w:sz w:val="30"/>
          <w:szCs w:val="30"/>
          <w:bdr w:val="none" w:sz="0" w:space="0" w:color="auto" w:frame="1"/>
          <w:lang w:eastAsia="tr-TR"/>
        </w:rPr>
        <w:t> </w:t>
      </w:r>
      <w:r w:rsidRPr="00285196">
        <w:rPr>
          <w:rFonts w:ascii="Arial" w:eastAsia="Times New Roman" w:hAnsi="Arial" w:cs="Arial"/>
          <w:color w:val="1D86BB"/>
          <w:kern w:val="36"/>
          <w:sz w:val="30"/>
          <w:szCs w:val="30"/>
          <w:bdr w:val="none" w:sz="0" w:space="0" w:color="auto" w:frame="1"/>
          <w:lang w:eastAsia="tr-TR"/>
        </w:rPr>
        <w:br/>
      </w:r>
    </w:p>
    <w:p w:rsidR="00285196" w:rsidRPr="00285196" w:rsidRDefault="00285196" w:rsidP="00285196">
      <w:pPr>
        <w:numPr>
          <w:ilvl w:val="0"/>
          <w:numId w:val="4"/>
        </w:numPr>
        <w:shd w:val="clear" w:color="auto" w:fill="EDF9FF"/>
        <w:spacing w:after="0" w:line="240" w:lineRule="auto"/>
        <w:ind w:left="510" w:right="150"/>
        <w:textAlignment w:val="baseline"/>
        <w:rPr>
          <w:rFonts w:ascii="inherit" w:eastAsia="Times New Roman" w:hAnsi="inherit" w:cs="Arial"/>
          <w:color w:val="222222"/>
          <w:sz w:val="21"/>
          <w:szCs w:val="21"/>
          <w:lang w:eastAsia="tr-TR"/>
        </w:rPr>
      </w:pPr>
      <w:hyperlink r:id="rId7" w:anchor="modal-label-rss" w:history="1">
        <w:r w:rsidRPr="00285196">
          <w:rPr>
            <w:rFonts w:ascii="inherit" w:eastAsia="Times New Roman" w:hAnsi="inherit" w:cs="Arial"/>
            <w:color w:val="0000FF"/>
            <w:sz w:val="21"/>
            <w:szCs w:val="21"/>
            <w:u w:val="single"/>
            <w:bdr w:val="none" w:sz="0" w:space="0" w:color="auto" w:frame="1"/>
            <w:lang w:eastAsia="tr-TR"/>
          </w:rPr>
          <w:t>LABEL RSS</w:t>
        </w:r>
      </w:hyperlink>
    </w:p>
    <w:p w:rsidR="00285196" w:rsidRPr="00285196" w:rsidRDefault="00285196" w:rsidP="00285196">
      <w:pPr>
        <w:numPr>
          <w:ilvl w:val="0"/>
          <w:numId w:val="4"/>
        </w:numPr>
        <w:shd w:val="clear" w:color="auto" w:fill="EDF9FF"/>
        <w:spacing w:after="0" w:line="240" w:lineRule="auto"/>
        <w:ind w:left="51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SHARE </w:t>
      </w:r>
    </w:p>
    <w:p w:rsidR="00285196" w:rsidRPr="00285196" w:rsidRDefault="00285196" w:rsidP="00285196">
      <w:pPr>
        <w:shd w:val="clear" w:color="auto" w:fill="EDF9FF"/>
        <w:spacing w:line="240" w:lineRule="auto"/>
        <w:ind w:left="510" w:right="150"/>
        <w:textAlignment w:val="baseline"/>
        <w:rPr>
          <w:rFonts w:ascii="inherit" w:eastAsia="Times New Roman" w:hAnsi="inherit" w:cs="Arial"/>
          <w:color w:val="222222"/>
          <w:sz w:val="21"/>
          <w:szCs w:val="21"/>
          <w:lang w:eastAsia="tr-TR"/>
        </w:rPr>
      </w:pPr>
      <w:hyperlink r:id="rId8" w:tgtFrame="_blank" w:tooltip="Bookmark &amp; Share" w:history="1">
        <w:r w:rsidRPr="00285196">
          <w:rPr>
            <w:rFonts w:ascii="inherit" w:eastAsia="Times New Roman" w:hAnsi="inherit" w:cs="Arial"/>
            <w:color w:val="0000FF"/>
            <w:sz w:val="21"/>
            <w:szCs w:val="21"/>
            <w:u w:val="single"/>
            <w:bdr w:val="none" w:sz="0" w:space="0" w:color="auto" w:frame="1"/>
            <w:lang w:eastAsia="tr-TR"/>
          </w:rPr>
          <w:t>BOOKMARK &amp; SHARE</w:t>
        </w:r>
      </w:hyperlink>
    </w:p>
    <w:p w:rsidR="00285196" w:rsidRPr="00285196" w:rsidRDefault="00285196" w:rsidP="00285196">
      <w:pPr>
        <w:spacing w:after="0" w:line="240" w:lineRule="auto"/>
        <w:ind w:left="300" w:right="300"/>
        <w:textAlignment w:val="baseline"/>
        <w:outlineLvl w:val="1"/>
        <w:rPr>
          <w:rFonts w:ascii="Arial" w:eastAsia="Times New Roman" w:hAnsi="Arial" w:cs="Arial"/>
          <w:color w:val="173F54"/>
          <w:sz w:val="38"/>
          <w:szCs w:val="38"/>
          <w:lang w:eastAsia="tr-TR"/>
        </w:rPr>
      </w:pPr>
      <w:r w:rsidRPr="00285196">
        <w:rPr>
          <w:rFonts w:ascii="Arial" w:eastAsia="Times New Roman" w:hAnsi="Arial" w:cs="Arial"/>
          <w:color w:val="173F54"/>
          <w:sz w:val="38"/>
          <w:szCs w:val="38"/>
          <w:lang w:eastAsia="tr-TR"/>
        </w:rPr>
        <w:t>VIEW PACKAGE PHOTOS</w:t>
      </w:r>
    </w:p>
    <w:p w:rsidR="00285196" w:rsidRPr="00285196" w:rsidRDefault="00285196" w:rsidP="00285196">
      <w:pPr>
        <w:numPr>
          <w:ilvl w:val="0"/>
          <w:numId w:val="5"/>
        </w:numPr>
        <w:spacing w:after="0" w:line="240" w:lineRule="auto"/>
        <w:ind w:left="300" w:right="300"/>
        <w:textAlignment w:val="baseline"/>
        <w:rPr>
          <w:rFonts w:ascii="inherit" w:eastAsia="Times New Roman" w:hAnsi="inherit" w:cs="Arial"/>
          <w:color w:val="222222"/>
          <w:sz w:val="21"/>
          <w:szCs w:val="21"/>
          <w:lang w:eastAsia="tr-TR"/>
        </w:rPr>
      </w:pPr>
    </w:p>
    <w:p w:rsidR="00285196" w:rsidRPr="00285196" w:rsidRDefault="00285196" w:rsidP="00285196">
      <w:pPr>
        <w:numPr>
          <w:ilvl w:val="1"/>
          <w:numId w:val="5"/>
        </w:numPr>
        <w:pBdr>
          <w:top w:val="single" w:sz="6" w:space="0" w:color="000000"/>
          <w:left w:val="single" w:sz="6" w:space="0" w:color="000000"/>
          <w:bottom w:val="single" w:sz="6" w:space="0" w:color="000000"/>
          <w:right w:val="single" w:sz="6" w:space="0" w:color="000000"/>
        </w:pBdr>
        <w:shd w:val="clear" w:color="auto" w:fill="767676"/>
        <w:spacing w:after="0" w:line="240" w:lineRule="auto"/>
        <w:ind w:left="300" w:right="300"/>
        <w:textAlignment w:val="baseline"/>
        <w:rPr>
          <w:rFonts w:ascii="inherit" w:eastAsia="Times New Roman" w:hAnsi="inherit" w:cs="Arial"/>
          <w:color w:val="222222"/>
          <w:sz w:val="21"/>
          <w:szCs w:val="21"/>
          <w:lang w:eastAsia="tr-TR"/>
        </w:rPr>
      </w:pPr>
      <w:r w:rsidRPr="00285196">
        <w:rPr>
          <w:rFonts w:ascii="inherit" w:eastAsia="Times New Roman" w:hAnsi="inherit" w:cs="Arial"/>
          <w:noProof/>
          <w:color w:val="1D86BB"/>
          <w:sz w:val="21"/>
          <w:szCs w:val="21"/>
          <w:bdr w:val="none" w:sz="0" w:space="0" w:color="auto" w:frame="1"/>
          <w:lang w:eastAsia="tr-TR"/>
        </w:rPr>
        <w:drawing>
          <wp:inline distT="0" distB="0" distL="0" distR="0" wp14:anchorId="25E0FF93" wp14:editId="43B9769B">
            <wp:extent cx="6924675" cy="2857500"/>
            <wp:effectExtent l="0" t="0" r="9525" b="0"/>
            <wp:docPr id="2" name="zoom_1" descr="Package Photo">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oom_1" descr="Package Photo">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924675" cy="2857500"/>
                    </a:xfrm>
                    <a:prstGeom prst="rect">
                      <a:avLst/>
                    </a:prstGeom>
                    <a:noFill/>
                    <a:ln>
                      <a:noFill/>
                    </a:ln>
                  </pic:spPr>
                </pic:pic>
              </a:graphicData>
            </a:graphic>
          </wp:inline>
        </w:drawing>
      </w:r>
    </w:p>
    <w:p w:rsidR="00285196" w:rsidRPr="00285196" w:rsidRDefault="00285196" w:rsidP="00285196">
      <w:pPr>
        <w:numPr>
          <w:ilvl w:val="1"/>
          <w:numId w:val="5"/>
        </w:numPr>
        <w:pBdr>
          <w:top w:val="single" w:sz="6" w:space="0" w:color="000000"/>
          <w:left w:val="single" w:sz="6" w:space="0" w:color="000000"/>
          <w:bottom w:val="single" w:sz="6" w:space="0" w:color="000000"/>
          <w:right w:val="single" w:sz="6" w:space="0" w:color="000000"/>
        </w:pBdr>
        <w:shd w:val="clear" w:color="auto" w:fill="767676"/>
        <w:spacing w:after="0" w:line="240" w:lineRule="auto"/>
        <w:ind w:left="600" w:right="300"/>
        <w:textAlignment w:val="baseline"/>
        <w:rPr>
          <w:rFonts w:ascii="inherit" w:eastAsia="Times New Roman" w:hAnsi="inherit" w:cs="Arial"/>
          <w:color w:val="222222"/>
          <w:sz w:val="21"/>
          <w:szCs w:val="21"/>
          <w:lang w:eastAsia="tr-TR"/>
        </w:rPr>
      </w:pPr>
      <w:r w:rsidRPr="00285196">
        <w:rPr>
          <w:rFonts w:ascii="inherit" w:eastAsia="Times New Roman" w:hAnsi="inherit" w:cs="Arial"/>
          <w:noProof/>
          <w:color w:val="1D86BB"/>
          <w:sz w:val="21"/>
          <w:szCs w:val="21"/>
          <w:bdr w:val="none" w:sz="0" w:space="0" w:color="auto" w:frame="1"/>
          <w:lang w:eastAsia="tr-TR"/>
        </w:rPr>
        <w:drawing>
          <wp:inline distT="0" distB="0" distL="0" distR="0" wp14:anchorId="7351DF73" wp14:editId="26F63BE9">
            <wp:extent cx="7143750" cy="4848225"/>
            <wp:effectExtent l="0" t="0" r="0" b="9525"/>
            <wp:docPr id="3" name="zoom_2" descr="Package Phot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oom_2" descr="Package Photo">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143750" cy="4848225"/>
                    </a:xfrm>
                    <a:prstGeom prst="rect">
                      <a:avLst/>
                    </a:prstGeom>
                    <a:noFill/>
                    <a:ln>
                      <a:noFill/>
                    </a:ln>
                  </pic:spPr>
                </pic:pic>
              </a:graphicData>
            </a:graphic>
          </wp:inline>
        </w:drawing>
      </w:r>
    </w:p>
    <w:p w:rsidR="00285196" w:rsidRPr="00285196" w:rsidRDefault="00285196" w:rsidP="00285196">
      <w:pPr>
        <w:spacing w:after="0" w:line="240" w:lineRule="auto"/>
        <w:ind w:left="75" w:right="300"/>
        <w:textAlignment w:val="baseline"/>
        <w:outlineLvl w:val="1"/>
        <w:rPr>
          <w:rFonts w:ascii="Arial" w:eastAsia="Times New Roman" w:hAnsi="Arial" w:cs="Arial"/>
          <w:color w:val="173F54"/>
          <w:sz w:val="38"/>
          <w:szCs w:val="38"/>
          <w:lang w:eastAsia="tr-TR"/>
        </w:rPr>
      </w:pPr>
      <w:hyperlink r:id="rId13" w:history="1">
        <w:r w:rsidRPr="00285196">
          <w:rPr>
            <w:rFonts w:ascii="Arial" w:eastAsia="Times New Roman" w:hAnsi="Arial" w:cs="Arial"/>
            <w:caps/>
            <w:color w:val="FFFFFF"/>
            <w:sz w:val="26"/>
            <w:szCs w:val="26"/>
            <w:u w:val="single"/>
            <w:bdr w:val="none" w:sz="0" w:space="0" w:color="auto" w:frame="1"/>
            <w:shd w:val="clear" w:color="auto" w:fill="F89025"/>
            <w:lang w:eastAsia="tr-TR"/>
          </w:rPr>
          <w:t>SAFETY</w:t>
        </w:r>
      </w:hyperlink>
    </w:p>
    <w:p w:rsidR="00285196" w:rsidRPr="00285196" w:rsidRDefault="00285196" w:rsidP="00285196">
      <w:pPr>
        <w:numPr>
          <w:ilvl w:val="0"/>
          <w:numId w:val="6"/>
        </w:numPr>
        <w:spacing w:after="0" w:line="240" w:lineRule="auto"/>
        <w:ind w:left="75" w:right="300"/>
        <w:textAlignment w:val="baseline"/>
        <w:rPr>
          <w:rFonts w:ascii="inherit" w:eastAsia="Times New Roman" w:hAnsi="inherit" w:cs="Arial"/>
          <w:color w:val="222222"/>
          <w:sz w:val="21"/>
          <w:szCs w:val="21"/>
          <w:lang w:eastAsia="tr-TR"/>
        </w:rPr>
      </w:pPr>
      <w:hyperlink r:id="rId14" w:tgtFrame="_blank" w:history="1">
        <w:r w:rsidRPr="00285196">
          <w:rPr>
            <w:rFonts w:ascii="inherit" w:eastAsia="Times New Roman" w:hAnsi="inherit" w:cs="Arial"/>
            <w:color w:val="3899CC"/>
            <w:sz w:val="21"/>
            <w:szCs w:val="21"/>
            <w:u w:val="single"/>
            <w:bdr w:val="none" w:sz="0" w:space="0" w:color="auto" w:frame="1"/>
            <w:lang w:eastAsia="tr-TR"/>
          </w:rPr>
          <w:t>Report Adverse Events</w:t>
        </w:r>
      </w:hyperlink>
    </w:p>
    <w:p w:rsidR="00285196" w:rsidRPr="00285196" w:rsidRDefault="00285196" w:rsidP="00285196">
      <w:pPr>
        <w:numPr>
          <w:ilvl w:val="0"/>
          <w:numId w:val="6"/>
        </w:numPr>
        <w:spacing w:after="0" w:line="240" w:lineRule="auto"/>
        <w:ind w:left="75" w:right="300"/>
        <w:textAlignment w:val="baseline"/>
        <w:rPr>
          <w:rFonts w:ascii="inherit" w:eastAsia="Times New Roman" w:hAnsi="inherit" w:cs="Arial"/>
          <w:color w:val="222222"/>
          <w:sz w:val="21"/>
          <w:szCs w:val="21"/>
          <w:lang w:eastAsia="tr-TR"/>
        </w:rPr>
      </w:pPr>
      <w:hyperlink r:id="rId15" w:tgtFrame="_blank" w:history="1">
        <w:r w:rsidRPr="00285196">
          <w:rPr>
            <w:rFonts w:ascii="inherit" w:eastAsia="Times New Roman" w:hAnsi="inherit" w:cs="Arial"/>
            <w:color w:val="3899CC"/>
            <w:sz w:val="21"/>
            <w:szCs w:val="21"/>
            <w:u w:val="single"/>
            <w:bdr w:val="dashed" w:sz="6" w:space="5" w:color="3899CC" w:frame="1"/>
            <w:lang w:eastAsia="tr-TR"/>
          </w:rPr>
          <w:t>FDA Safety Recalls</w:t>
        </w:r>
      </w:hyperlink>
    </w:p>
    <w:p w:rsidR="00285196" w:rsidRPr="00285196" w:rsidRDefault="00285196" w:rsidP="00285196">
      <w:pPr>
        <w:numPr>
          <w:ilvl w:val="0"/>
          <w:numId w:val="6"/>
        </w:numPr>
        <w:spacing w:line="240" w:lineRule="auto"/>
        <w:ind w:left="75" w:right="300"/>
        <w:textAlignment w:val="baseline"/>
        <w:rPr>
          <w:rFonts w:ascii="inherit" w:eastAsia="Times New Roman" w:hAnsi="inherit" w:cs="Arial"/>
          <w:color w:val="222222"/>
          <w:sz w:val="21"/>
          <w:szCs w:val="21"/>
          <w:lang w:eastAsia="tr-TR"/>
        </w:rPr>
      </w:pPr>
      <w:hyperlink r:id="rId16" w:tgtFrame="_blank" w:history="1">
        <w:r w:rsidRPr="00285196">
          <w:rPr>
            <w:rFonts w:ascii="inherit" w:eastAsia="Times New Roman" w:hAnsi="inherit" w:cs="Arial"/>
            <w:color w:val="3899CC"/>
            <w:sz w:val="21"/>
            <w:szCs w:val="21"/>
            <w:u w:val="single"/>
            <w:bdr w:val="dashed" w:sz="6" w:space="5" w:color="3899CC" w:frame="1"/>
            <w:lang w:eastAsia="tr-TR"/>
          </w:rPr>
          <w:t>Presence in Breast Milk</w:t>
        </w:r>
      </w:hyperlink>
    </w:p>
    <w:p w:rsidR="00285196" w:rsidRPr="00285196" w:rsidRDefault="00285196" w:rsidP="00285196">
      <w:pPr>
        <w:spacing w:after="0" w:line="240" w:lineRule="auto"/>
        <w:ind w:left="75" w:right="300"/>
        <w:textAlignment w:val="baseline"/>
        <w:outlineLvl w:val="1"/>
        <w:rPr>
          <w:rFonts w:ascii="Arial" w:eastAsia="Times New Roman" w:hAnsi="Arial" w:cs="Arial"/>
          <w:color w:val="173F54"/>
          <w:sz w:val="38"/>
          <w:szCs w:val="38"/>
          <w:lang w:eastAsia="tr-TR"/>
        </w:rPr>
      </w:pPr>
      <w:hyperlink r:id="rId17" w:history="1">
        <w:r w:rsidRPr="00285196">
          <w:rPr>
            <w:rFonts w:ascii="Arial" w:eastAsia="Times New Roman" w:hAnsi="Arial" w:cs="Arial"/>
            <w:caps/>
            <w:color w:val="FFFFFF"/>
            <w:sz w:val="26"/>
            <w:szCs w:val="26"/>
            <w:u w:val="single"/>
            <w:bdr w:val="none" w:sz="0" w:space="0" w:color="auto" w:frame="1"/>
            <w:shd w:val="clear" w:color="auto" w:fill="3899CC"/>
            <w:lang w:eastAsia="tr-TR"/>
          </w:rPr>
          <w:t>RELATED RESOURCES</w:t>
        </w:r>
      </w:hyperlink>
    </w:p>
    <w:p w:rsidR="00285196" w:rsidRPr="00285196" w:rsidRDefault="00285196" w:rsidP="00285196">
      <w:pPr>
        <w:numPr>
          <w:ilvl w:val="0"/>
          <w:numId w:val="7"/>
        </w:numPr>
        <w:spacing w:after="0" w:line="240" w:lineRule="auto"/>
        <w:ind w:left="75" w:right="300"/>
        <w:textAlignment w:val="baseline"/>
        <w:rPr>
          <w:rFonts w:ascii="inherit" w:eastAsia="Times New Roman" w:hAnsi="inherit" w:cs="Arial"/>
          <w:color w:val="222222"/>
          <w:sz w:val="21"/>
          <w:szCs w:val="21"/>
          <w:lang w:eastAsia="tr-TR"/>
        </w:rPr>
      </w:pPr>
      <w:hyperlink r:id="rId18" w:tgtFrame="_blank" w:history="1">
        <w:r w:rsidRPr="00285196">
          <w:rPr>
            <w:rFonts w:ascii="inherit" w:eastAsia="Times New Roman" w:hAnsi="inherit" w:cs="Arial"/>
            <w:color w:val="3899CC"/>
            <w:sz w:val="21"/>
            <w:szCs w:val="21"/>
            <w:u w:val="single"/>
            <w:bdr w:val="none" w:sz="0" w:space="0" w:color="auto" w:frame="1"/>
            <w:lang w:eastAsia="tr-TR"/>
          </w:rPr>
          <w:t>Medline Plus</w:t>
        </w:r>
      </w:hyperlink>
    </w:p>
    <w:p w:rsidR="00285196" w:rsidRPr="00285196" w:rsidRDefault="00285196" w:rsidP="00285196">
      <w:pPr>
        <w:numPr>
          <w:ilvl w:val="0"/>
          <w:numId w:val="7"/>
        </w:numPr>
        <w:spacing w:after="0" w:line="240" w:lineRule="auto"/>
        <w:ind w:left="75" w:right="300"/>
        <w:textAlignment w:val="baseline"/>
        <w:rPr>
          <w:rFonts w:ascii="inherit" w:eastAsia="Times New Roman" w:hAnsi="inherit" w:cs="Arial"/>
          <w:color w:val="222222"/>
          <w:sz w:val="21"/>
          <w:szCs w:val="21"/>
          <w:lang w:eastAsia="tr-TR"/>
        </w:rPr>
      </w:pPr>
      <w:hyperlink r:id="rId19" w:tgtFrame="blank" w:history="1">
        <w:r w:rsidRPr="00285196">
          <w:rPr>
            <w:rFonts w:ascii="inherit" w:eastAsia="Times New Roman" w:hAnsi="inherit" w:cs="Arial"/>
            <w:color w:val="3899CC"/>
            <w:sz w:val="21"/>
            <w:szCs w:val="21"/>
            <w:u w:val="single"/>
            <w:bdr w:val="dashed" w:sz="6" w:space="5" w:color="3899CC" w:frame="1"/>
            <w:lang w:eastAsia="tr-TR"/>
          </w:rPr>
          <w:t>Clinical Trials</w:t>
        </w:r>
      </w:hyperlink>
    </w:p>
    <w:p w:rsidR="00285196" w:rsidRPr="00285196" w:rsidRDefault="00285196" w:rsidP="00285196">
      <w:pPr>
        <w:numPr>
          <w:ilvl w:val="0"/>
          <w:numId w:val="7"/>
        </w:numPr>
        <w:spacing w:after="0" w:line="240" w:lineRule="auto"/>
        <w:ind w:left="75" w:right="300"/>
        <w:textAlignment w:val="baseline"/>
        <w:rPr>
          <w:rFonts w:ascii="inherit" w:eastAsia="Times New Roman" w:hAnsi="inherit" w:cs="Arial"/>
          <w:color w:val="222222"/>
          <w:sz w:val="21"/>
          <w:szCs w:val="21"/>
          <w:lang w:eastAsia="tr-TR"/>
        </w:rPr>
      </w:pPr>
      <w:hyperlink r:id="rId20" w:history="1">
        <w:r w:rsidRPr="00285196">
          <w:rPr>
            <w:rFonts w:ascii="inherit" w:eastAsia="Times New Roman" w:hAnsi="inherit" w:cs="Arial"/>
            <w:color w:val="3899CC"/>
            <w:sz w:val="21"/>
            <w:szCs w:val="21"/>
            <w:u w:val="single"/>
            <w:bdr w:val="dashed" w:sz="6" w:space="5" w:color="3899CC" w:frame="1"/>
            <w:lang w:eastAsia="tr-TR"/>
          </w:rPr>
          <w:t>PubMed</w:t>
        </w:r>
      </w:hyperlink>
    </w:p>
    <w:p w:rsidR="00285196" w:rsidRPr="00285196" w:rsidRDefault="00285196" w:rsidP="00285196">
      <w:pPr>
        <w:numPr>
          <w:ilvl w:val="0"/>
          <w:numId w:val="7"/>
        </w:numPr>
        <w:spacing w:line="240" w:lineRule="auto"/>
        <w:ind w:left="75" w:right="300"/>
        <w:textAlignment w:val="baseline"/>
        <w:rPr>
          <w:rFonts w:ascii="inherit" w:eastAsia="Times New Roman" w:hAnsi="inherit" w:cs="Arial"/>
          <w:color w:val="222222"/>
          <w:sz w:val="21"/>
          <w:szCs w:val="21"/>
          <w:lang w:eastAsia="tr-TR"/>
        </w:rPr>
      </w:pPr>
      <w:hyperlink r:id="rId21" w:tgtFrame="_blank" w:history="1">
        <w:r w:rsidRPr="00285196">
          <w:rPr>
            <w:rFonts w:ascii="inherit" w:eastAsia="Times New Roman" w:hAnsi="inherit" w:cs="Arial"/>
            <w:color w:val="3899CC"/>
            <w:sz w:val="21"/>
            <w:szCs w:val="21"/>
            <w:u w:val="single"/>
            <w:bdr w:val="dashed" w:sz="6" w:space="5" w:color="3899CC" w:frame="1"/>
            <w:lang w:eastAsia="tr-TR"/>
          </w:rPr>
          <w:t>Biochemical Data Summary</w:t>
        </w:r>
      </w:hyperlink>
    </w:p>
    <w:p w:rsidR="00285196" w:rsidRPr="00285196" w:rsidRDefault="00285196" w:rsidP="00285196">
      <w:pPr>
        <w:spacing w:after="0" w:line="240" w:lineRule="auto"/>
        <w:ind w:left="75" w:right="300"/>
        <w:textAlignment w:val="baseline"/>
        <w:outlineLvl w:val="1"/>
        <w:rPr>
          <w:rFonts w:ascii="Arial" w:eastAsia="Times New Roman" w:hAnsi="Arial" w:cs="Arial"/>
          <w:color w:val="173F54"/>
          <w:sz w:val="38"/>
          <w:szCs w:val="38"/>
          <w:lang w:eastAsia="tr-TR"/>
        </w:rPr>
      </w:pPr>
      <w:hyperlink r:id="rId22" w:history="1">
        <w:r w:rsidRPr="00285196">
          <w:rPr>
            <w:rFonts w:ascii="Arial" w:eastAsia="Times New Roman" w:hAnsi="Arial" w:cs="Arial"/>
            <w:caps/>
            <w:color w:val="FFFFFF"/>
            <w:sz w:val="26"/>
            <w:szCs w:val="26"/>
            <w:u w:val="single"/>
            <w:bdr w:val="none" w:sz="0" w:space="0" w:color="auto" w:frame="1"/>
            <w:shd w:val="clear" w:color="auto" w:fill="3899CC"/>
            <w:lang w:eastAsia="tr-TR"/>
          </w:rPr>
          <w:t>MORE INFO FOR THIS DRUG</w:t>
        </w:r>
      </w:hyperlink>
    </w:p>
    <w:p w:rsidR="00285196" w:rsidRPr="00285196" w:rsidRDefault="00285196" w:rsidP="00285196">
      <w:pPr>
        <w:numPr>
          <w:ilvl w:val="0"/>
          <w:numId w:val="8"/>
        </w:numPr>
        <w:spacing w:after="0" w:line="240" w:lineRule="auto"/>
        <w:ind w:left="75" w:right="300"/>
        <w:textAlignment w:val="baseline"/>
        <w:rPr>
          <w:rFonts w:ascii="inherit" w:eastAsia="Times New Roman" w:hAnsi="inherit" w:cs="Arial"/>
          <w:color w:val="222222"/>
          <w:sz w:val="21"/>
          <w:szCs w:val="21"/>
          <w:lang w:eastAsia="tr-TR"/>
        </w:rPr>
      </w:pPr>
      <w:hyperlink r:id="rId23" w:anchor="modal-label-archives" w:history="1">
        <w:r w:rsidRPr="00285196">
          <w:rPr>
            <w:rFonts w:ascii="inherit" w:eastAsia="Times New Roman" w:hAnsi="inherit" w:cs="Arial"/>
            <w:color w:val="3899CC"/>
            <w:sz w:val="21"/>
            <w:szCs w:val="21"/>
            <w:u w:val="single"/>
            <w:bdr w:val="none" w:sz="0" w:space="0" w:color="auto" w:frame="1"/>
            <w:lang w:eastAsia="tr-TR"/>
          </w:rPr>
          <w:t>View Label Archives</w:t>
        </w:r>
      </w:hyperlink>
    </w:p>
    <w:p w:rsidR="00285196" w:rsidRPr="00285196" w:rsidRDefault="00285196" w:rsidP="00285196">
      <w:pPr>
        <w:numPr>
          <w:ilvl w:val="0"/>
          <w:numId w:val="8"/>
        </w:numPr>
        <w:spacing w:after="0" w:line="240" w:lineRule="auto"/>
        <w:ind w:left="75" w:right="300"/>
        <w:textAlignment w:val="baseline"/>
        <w:rPr>
          <w:rFonts w:ascii="inherit" w:eastAsia="Times New Roman" w:hAnsi="inherit" w:cs="Arial"/>
          <w:color w:val="222222"/>
          <w:sz w:val="21"/>
          <w:szCs w:val="21"/>
          <w:lang w:eastAsia="tr-TR"/>
        </w:rPr>
      </w:pPr>
      <w:hyperlink r:id="rId24" w:anchor="modal-rx-norm" w:history="1">
        <w:r w:rsidRPr="00285196">
          <w:rPr>
            <w:rFonts w:ascii="inherit" w:eastAsia="Times New Roman" w:hAnsi="inherit" w:cs="Arial"/>
            <w:color w:val="3899CC"/>
            <w:sz w:val="21"/>
            <w:szCs w:val="21"/>
            <w:u w:val="single"/>
            <w:bdr w:val="dashed" w:sz="6" w:space="5" w:color="3899CC" w:frame="1"/>
            <w:lang w:eastAsia="tr-TR"/>
          </w:rPr>
          <w:t>RxNorm</w:t>
        </w:r>
      </w:hyperlink>
    </w:p>
    <w:p w:rsidR="00285196" w:rsidRPr="00285196" w:rsidRDefault="00285196" w:rsidP="00285196">
      <w:pPr>
        <w:numPr>
          <w:ilvl w:val="0"/>
          <w:numId w:val="8"/>
        </w:numPr>
        <w:spacing w:line="240" w:lineRule="auto"/>
        <w:ind w:left="75" w:right="300"/>
        <w:textAlignment w:val="baseline"/>
        <w:rPr>
          <w:rFonts w:ascii="inherit" w:eastAsia="Times New Roman" w:hAnsi="inherit" w:cs="Arial"/>
          <w:color w:val="222222"/>
          <w:sz w:val="21"/>
          <w:szCs w:val="21"/>
          <w:lang w:eastAsia="tr-TR"/>
        </w:rPr>
      </w:pPr>
      <w:hyperlink r:id="rId25" w:anchor="modal-label-rss" w:history="1">
        <w:r w:rsidRPr="00285196">
          <w:rPr>
            <w:rFonts w:ascii="inherit" w:eastAsia="Times New Roman" w:hAnsi="inherit" w:cs="Arial"/>
            <w:color w:val="3899CC"/>
            <w:sz w:val="21"/>
            <w:szCs w:val="21"/>
            <w:u w:val="single"/>
            <w:bdr w:val="dashed" w:sz="6" w:space="5" w:color="3899CC" w:frame="1"/>
            <w:lang w:eastAsia="tr-TR"/>
          </w:rPr>
          <w:t>Get Label RSS Feed</w:t>
        </w:r>
      </w:hyperlink>
    </w:p>
    <w:p w:rsidR="00285196" w:rsidRPr="00285196" w:rsidRDefault="00285196" w:rsidP="00285196">
      <w:pPr>
        <w:numPr>
          <w:ilvl w:val="0"/>
          <w:numId w:val="9"/>
        </w:numPr>
        <w:spacing w:after="0" w:line="240" w:lineRule="auto"/>
        <w:ind w:left="150" w:right="150"/>
        <w:textAlignment w:val="baseline"/>
        <w:rPr>
          <w:rFonts w:ascii="inherit" w:eastAsia="Times New Roman" w:hAnsi="inherit" w:cs="Arial"/>
          <w:color w:val="222222"/>
          <w:sz w:val="21"/>
          <w:szCs w:val="21"/>
          <w:lang w:eastAsia="tr-TR"/>
        </w:rPr>
      </w:pPr>
      <w:hyperlink r:id="rId26" w:tooltip="&lt;b&gt;NDC (National Drug Code)&lt;/b&gt; - Each drug product is assigned this unique number which can be found on the drug's outer packaging." w:history="1">
        <w:r w:rsidRPr="00285196">
          <w:rPr>
            <w:rFonts w:ascii="inherit" w:eastAsia="Times New Roman" w:hAnsi="inherit" w:cs="Arial"/>
            <w:color w:val="1D86BB"/>
            <w:sz w:val="21"/>
            <w:szCs w:val="21"/>
            <w:u w:val="single"/>
            <w:bdr w:val="none" w:sz="0" w:space="0" w:color="auto" w:frame="1"/>
            <w:lang w:eastAsia="tr-TR"/>
          </w:rPr>
          <w:t>NDC Code(s):</w:t>
        </w:r>
      </w:hyperlink>
      <w:r w:rsidRPr="00285196">
        <w:rPr>
          <w:rFonts w:ascii="inherit" w:eastAsia="Times New Roman" w:hAnsi="inherit" w:cs="Arial"/>
          <w:color w:val="222222"/>
          <w:sz w:val="21"/>
          <w:szCs w:val="21"/>
          <w:lang w:eastAsia="tr-TR"/>
        </w:rPr>
        <w:t> </w:t>
      </w:r>
      <w:r w:rsidRPr="00285196">
        <w:rPr>
          <w:rFonts w:ascii="inherit" w:eastAsia="Times New Roman" w:hAnsi="inherit" w:cs="Arial"/>
          <w:color w:val="222222"/>
          <w:sz w:val="21"/>
          <w:szCs w:val="21"/>
          <w:bdr w:val="none" w:sz="0" w:space="0" w:color="auto" w:frame="1"/>
          <w:lang w:eastAsia="tr-TR"/>
        </w:rPr>
        <w:t>43598-427-37</w:t>
      </w:r>
    </w:p>
    <w:p w:rsidR="00285196" w:rsidRPr="00285196" w:rsidRDefault="00285196" w:rsidP="00285196">
      <w:pPr>
        <w:numPr>
          <w:ilvl w:val="0"/>
          <w:numId w:val="9"/>
        </w:numPr>
        <w:spacing w:after="0" w:line="240" w:lineRule="auto"/>
        <w:ind w:left="150" w:right="150"/>
        <w:textAlignment w:val="baseline"/>
        <w:rPr>
          <w:rFonts w:ascii="inherit" w:eastAsia="Times New Roman" w:hAnsi="inherit" w:cs="Arial"/>
          <w:color w:val="222222"/>
          <w:sz w:val="21"/>
          <w:szCs w:val="21"/>
          <w:lang w:eastAsia="tr-TR"/>
        </w:rPr>
      </w:pPr>
    </w:p>
    <w:p w:rsidR="00285196" w:rsidRPr="00285196" w:rsidRDefault="00285196" w:rsidP="00285196">
      <w:pPr>
        <w:numPr>
          <w:ilvl w:val="0"/>
          <w:numId w:val="9"/>
        </w:numPr>
        <w:spacing w:after="0" w:line="240" w:lineRule="auto"/>
        <w:ind w:left="150" w:right="150"/>
        <w:textAlignment w:val="baseline"/>
        <w:rPr>
          <w:rFonts w:ascii="inherit" w:eastAsia="Times New Roman" w:hAnsi="inherit" w:cs="Arial"/>
          <w:color w:val="222222"/>
          <w:sz w:val="21"/>
          <w:szCs w:val="21"/>
          <w:lang w:eastAsia="tr-TR"/>
        </w:rPr>
      </w:pPr>
      <w:r w:rsidRPr="00285196">
        <w:rPr>
          <w:rFonts w:ascii="Arial" w:eastAsia="Times New Roman" w:hAnsi="Arial" w:cs="Arial"/>
          <w:color w:val="222222"/>
          <w:sz w:val="21"/>
          <w:szCs w:val="21"/>
          <w:bdr w:val="none" w:sz="0" w:space="0" w:color="auto" w:frame="1"/>
          <w:lang w:eastAsia="tr-TR"/>
        </w:rPr>
        <w:t>Packager: </w:t>
      </w:r>
      <w:r w:rsidRPr="00285196">
        <w:rPr>
          <w:rFonts w:ascii="inherit" w:eastAsia="Times New Roman" w:hAnsi="inherit" w:cs="Arial"/>
          <w:color w:val="222222"/>
          <w:sz w:val="21"/>
          <w:szCs w:val="21"/>
          <w:lang w:eastAsia="tr-TR"/>
        </w:rPr>
        <w:t>Dr.Reddy's Laboratories Inc</w:t>
      </w:r>
    </w:p>
    <w:p w:rsidR="00285196" w:rsidRPr="00285196" w:rsidRDefault="00285196" w:rsidP="00285196">
      <w:pPr>
        <w:numPr>
          <w:ilvl w:val="0"/>
          <w:numId w:val="10"/>
        </w:numPr>
        <w:spacing w:after="0" w:line="240" w:lineRule="auto"/>
        <w:ind w:left="150" w:right="150"/>
        <w:textAlignment w:val="baseline"/>
        <w:rPr>
          <w:rFonts w:ascii="inherit" w:eastAsia="Times New Roman" w:hAnsi="inherit" w:cs="Arial"/>
          <w:color w:val="222222"/>
          <w:sz w:val="21"/>
          <w:szCs w:val="21"/>
          <w:lang w:eastAsia="tr-TR"/>
        </w:rPr>
      </w:pPr>
      <w:r w:rsidRPr="00285196">
        <w:rPr>
          <w:rFonts w:ascii="Arial" w:eastAsia="Times New Roman" w:hAnsi="Arial" w:cs="Arial"/>
          <w:color w:val="222222"/>
          <w:sz w:val="21"/>
          <w:szCs w:val="21"/>
          <w:bdr w:val="none" w:sz="0" w:space="0" w:color="auto" w:frame="1"/>
          <w:lang w:eastAsia="tr-TR"/>
        </w:rPr>
        <w:t>Category:</w:t>
      </w:r>
      <w:r w:rsidRPr="00285196">
        <w:rPr>
          <w:rFonts w:ascii="inherit" w:eastAsia="Times New Roman" w:hAnsi="inherit" w:cs="Arial"/>
          <w:color w:val="222222"/>
          <w:sz w:val="21"/>
          <w:szCs w:val="21"/>
          <w:lang w:eastAsia="tr-TR"/>
        </w:rPr>
        <w:t> </w:t>
      </w:r>
      <w:r w:rsidRPr="00285196">
        <w:rPr>
          <w:rFonts w:ascii="inherit" w:eastAsia="Times New Roman" w:hAnsi="inherit" w:cs="Arial"/>
          <w:color w:val="F89025"/>
          <w:sz w:val="21"/>
          <w:szCs w:val="21"/>
          <w:bdr w:val="none" w:sz="0" w:space="0" w:color="auto" w:frame="1"/>
          <w:lang w:eastAsia="tr-TR"/>
        </w:rPr>
        <w:t>HUMAN PRESCRIPTION DRUG LABEL</w:t>
      </w:r>
    </w:p>
    <w:p w:rsidR="00285196" w:rsidRPr="00285196" w:rsidRDefault="00285196" w:rsidP="00285196">
      <w:pPr>
        <w:numPr>
          <w:ilvl w:val="0"/>
          <w:numId w:val="10"/>
        </w:numPr>
        <w:spacing w:after="0" w:line="240" w:lineRule="auto"/>
        <w:ind w:left="150" w:right="150"/>
        <w:textAlignment w:val="baseline"/>
        <w:rPr>
          <w:rFonts w:ascii="inherit" w:eastAsia="Times New Roman" w:hAnsi="inherit" w:cs="Arial"/>
          <w:color w:val="222222"/>
          <w:sz w:val="21"/>
          <w:szCs w:val="21"/>
          <w:lang w:eastAsia="tr-TR"/>
        </w:rPr>
      </w:pPr>
      <w:r w:rsidRPr="00285196">
        <w:rPr>
          <w:rFonts w:ascii="Arial" w:eastAsia="Times New Roman" w:hAnsi="Arial" w:cs="Arial"/>
          <w:color w:val="222222"/>
          <w:sz w:val="21"/>
          <w:szCs w:val="21"/>
          <w:bdr w:val="none" w:sz="0" w:space="0" w:color="auto" w:frame="1"/>
          <w:lang w:eastAsia="tr-TR"/>
        </w:rPr>
        <w:t>DEA Schedule:</w:t>
      </w:r>
      <w:r w:rsidRPr="00285196">
        <w:rPr>
          <w:rFonts w:ascii="inherit" w:eastAsia="Times New Roman" w:hAnsi="inherit" w:cs="Arial"/>
          <w:color w:val="222222"/>
          <w:sz w:val="21"/>
          <w:szCs w:val="21"/>
          <w:lang w:eastAsia="tr-TR"/>
        </w:rPr>
        <w:t> </w:t>
      </w:r>
      <w:r w:rsidRPr="00285196">
        <w:rPr>
          <w:rFonts w:ascii="inherit" w:eastAsia="Times New Roman" w:hAnsi="inherit" w:cs="Arial"/>
          <w:color w:val="222222"/>
          <w:sz w:val="21"/>
          <w:szCs w:val="21"/>
          <w:bdr w:val="none" w:sz="0" w:space="0" w:color="auto" w:frame="1"/>
          <w:lang w:eastAsia="tr-TR"/>
        </w:rPr>
        <w:t>None</w:t>
      </w:r>
    </w:p>
    <w:p w:rsidR="00285196" w:rsidRPr="00285196" w:rsidRDefault="00285196" w:rsidP="00285196">
      <w:pPr>
        <w:numPr>
          <w:ilvl w:val="0"/>
          <w:numId w:val="10"/>
        </w:numPr>
        <w:spacing w:after="0" w:line="240" w:lineRule="auto"/>
        <w:ind w:left="150" w:right="150"/>
        <w:textAlignment w:val="baseline"/>
        <w:rPr>
          <w:rFonts w:ascii="inherit" w:eastAsia="Times New Roman" w:hAnsi="inherit" w:cs="Arial"/>
          <w:color w:val="222222"/>
          <w:sz w:val="21"/>
          <w:szCs w:val="21"/>
          <w:lang w:eastAsia="tr-TR"/>
        </w:rPr>
      </w:pPr>
      <w:r w:rsidRPr="00285196">
        <w:rPr>
          <w:rFonts w:ascii="Arial" w:eastAsia="Times New Roman" w:hAnsi="Arial" w:cs="Arial"/>
          <w:color w:val="222222"/>
          <w:sz w:val="21"/>
          <w:szCs w:val="21"/>
          <w:bdr w:val="none" w:sz="0" w:space="0" w:color="auto" w:frame="1"/>
          <w:lang w:eastAsia="tr-TR"/>
        </w:rPr>
        <w:t>Marketing Status:</w:t>
      </w:r>
      <w:r w:rsidRPr="00285196">
        <w:rPr>
          <w:rFonts w:ascii="inherit" w:eastAsia="Times New Roman" w:hAnsi="inherit" w:cs="Arial"/>
          <w:color w:val="222222"/>
          <w:sz w:val="21"/>
          <w:szCs w:val="21"/>
          <w:lang w:eastAsia="tr-TR"/>
        </w:rPr>
        <w:t> </w:t>
      </w:r>
      <w:r w:rsidRPr="00285196">
        <w:rPr>
          <w:rFonts w:ascii="inherit" w:eastAsia="Times New Roman" w:hAnsi="inherit" w:cs="Arial"/>
          <w:color w:val="222222"/>
          <w:sz w:val="21"/>
          <w:szCs w:val="21"/>
          <w:bdr w:val="none" w:sz="0" w:space="0" w:color="auto" w:frame="1"/>
          <w:lang w:eastAsia="tr-TR"/>
        </w:rPr>
        <w:t>Abbreviated New Drug Application</w:t>
      </w:r>
    </w:p>
    <w:p w:rsidR="00285196" w:rsidRPr="00285196" w:rsidRDefault="00285196" w:rsidP="00285196">
      <w:pPr>
        <w:spacing w:after="48" w:line="240" w:lineRule="auto"/>
        <w:ind w:left="150" w:right="150"/>
        <w:textAlignment w:val="baseline"/>
        <w:outlineLvl w:val="1"/>
        <w:rPr>
          <w:rFonts w:ascii="Arial" w:eastAsia="Times New Roman" w:hAnsi="Arial" w:cs="Arial"/>
          <w:caps/>
          <w:color w:val="F89025"/>
          <w:sz w:val="39"/>
          <w:szCs w:val="39"/>
          <w:lang w:eastAsia="tr-TR"/>
        </w:rPr>
      </w:pPr>
      <w:r w:rsidRPr="00285196">
        <w:rPr>
          <w:rFonts w:ascii="Arial" w:eastAsia="Times New Roman" w:hAnsi="Arial" w:cs="Arial"/>
          <w:caps/>
          <w:color w:val="F89025"/>
          <w:sz w:val="39"/>
          <w:szCs w:val="39"/>
          <w:lang w:eastAsia="tr-TR"/>
        </w:rPr>
        <w:t>DRUG LABEL INFORMATION</w:t>
      </w:r>
    </w:p>
    <w:p w:rsidR="00285196" w:rsidRPr="00285196" w:rsidRDefault="00285196" w:rsidP="00285196">
      <w:pPr>
        <w:spacing w:before="60" w:after="0" w:line="240" w:lineRule="auto"/>
        <w:ind w:left="15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Updated July 2, 2014</w:t>
      </w:r>
    </w:p>
    <w:p w:rsidR="00285196" w:rsidRPr="00285196" w:rsidRDefault="00285196" w:rsidP="00285196">
      <w:pPr>
        <w:spacing w:after="0" w:line="240" w:lineRule="auto"/>
        <w:ind w:left="150" w:right="150"/>
        <w:textAlignment w:val="baseline"/>
        <w:rPr>
          <w:rFonts w:ascii="inherit" w:eastAsia="Times New Roman" w:hAnsi="inherit" w:cs="Arial"/>
          <w:color w:val="F89025"/>
          <w:sz w:val="21"/>
          <w:szCs w:val="21"/>
          <w:lang w:eastAsia="tr-TR"/>
        </w:rPr>
      </w:pPr>
      <w:r w:rsidRPr="00285196">
        <w:rPr>
          <w:rFonts w:ascii="inherit" w:eastAsia="Times New Roman" w:hAnsi="inherit" w:cs="Arial"/>
          <w:color w:val="F89025"/>
          <w:sz w:val="21"/>
          <w:szCs w:val="21"/>
          <w:lang w:eastAsia="tr-TR"/>
        </w:rPr>
        <w:t>If you are a consumer or patient please visit </w:t>
      </w:r>
      <w:hyperlink r:id="rId27" w:history="1">
        <w:r w:rsidRPr="00285196">
          <w:rPr>
            <w:rFonts w:ascii="inherit" w:eastAsia="Times New Roman" w:hAnsi="inherit" w:cs="Arial"/>
            <w:color w:val="1D86BB"/>
            <w:sz w:val="21"/>
            <w:szCs w:val="21"/>
            <w:u w:val="single"/>
            <w:bdr w:val="none" w:sz="0" w:space="0" w:color="auto" w:frame="1"/>
            <w:lang w:eastAsia="tr-TR"/>
          </w:rPr>
          <w:t>this version.</w:t>
        </w:r>
      </w:hyperlink>
    </w:p>
    <w:p w:rsidR="00285196" w:rsidRPr="00285196" w:rsidRDefault="00285196" w:rsidP="00285196">
      <w:pPr>
        <w:numPr>
          <w:ilvl w:val="0"/>
          <w:numId w:val="11"/>
        </w:numPr>
        <w:spacing w:beforeAutospacing="1" w:after="0" w:afterAutospacing="1" w:line="240" w:lineRule="auto"/>
        <w:ind w:left="150" w:right="4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DOWNLOAD DRUG LABEL INFO: </w:t>
      </w:r>
      <w:hyperlink r:id="rId28" w:tgtFrame="_blank" w:history="1">
        <w:r w:rsidRPr="00285196">
          <w:rPr>
            <w:rFonts w:ascii="inherit" w:eastAsia="Times New Roman" w:hAnsi="inherit" w:cs="Arial"/>
            <w:color w:val="0000FF"/>
            <w:sz w:val="21"/>
            <w:szCs w:val="21"/>
            <w:u w:val="single"/>
            <w:bdr w:val="none" w:sz="0" w:space="0" w:color="auto" w:frame="1"/>
            <w:lang w:eastAsia="tr-TR"/>
          </w:rPr>
          <w:t>PDF</w:t>
        </w:r>
      </w:hyperlink>
      <w:r w:rsidRPr="00285196">
        <w:rPr>
          <w:rFonts w:ascii="inherit" w:eastAsia="Times New Roman" w:hAnsi="inherit" w:cs="Arial"/>
          <w:color w:val="222222"/>
          <w:sz w:val="21"/>
          <w:szCs w:val="21"/>
          <w:lang w:eastAsia="tr-TR"/>
        </w:rPr>
        <w:t> </w:t>
      </w:r>
      <w:hyperlink r:id="rId29" w:tgtFrame="_blank" w:history="1">
        <w:r w:rsidRPr="00285196">
          <w:rPr>
            <w:rFonts w:ascii="inherit" w:eastAsia="Times New Roman" w:hAnsi="inherit" w:cs="Arial"/>
            <w:color w:val="0000FF"/>
            <w:sz w:val="21"/>
            <w:szCs w:val="21"/>
            <w:u w:val="single"/>
            <w:bdr w:val="none" w:sz="0" w:space="0" w:color="auto" w:frame="1"/>
            <w:lang w:eastAsia="tr-TR"/>
          </w:rPr>
          <w:t>XML</w:t>
        </w:r>
      </w:hyperlink>
    </w:p>
    <w:p w:rsidR="00285196" w:rsidRPr="00285196" w:rsidRDefault="00285196" w:rsidP="00285196">
      <w:pPr>
        <w:numPr>
          <w:ilvl w:val="0"/>
          <w:numId w:val="11"/>
        </w:numPr>
        <w:spacing w:after="0" w:line="240" w:lineRule="auto"/>
        <w:ind w:left="510" w:right="150"/>
        <w:textAlignment w:val="baseline"/>
        <w:rPr>
          <w:rFonts w:ascii="inherit" w:eastAsia="Times New Roman" w:hAnsi="inherit" w:cs="Arial"/>
          <w:color w:val="222222"/>
          <w:sz w:val="21"/>
          <w:szCs w:val="21"/>
          <w:lang w:eastAsia="tr-TR"/>
        </w:rPr>
      </w:pPr>
      <w:hyperlink r:id="rId30" w:tgtFrame="_blank" w:history="1">
        <w:r w:rsidRPr="00285196">
          <w:rPr>
            <w:rFonts w:ascii="inherit" w:eastAsia="Times New Roman" w:hAnsi="inherit" w:cs="Arial"/>
            <w:color w:val="0000FF"/>
            <w:sz w:val="21"/>
            <w:szCs w:val="21"/>
            <w:u w:val="single"/>
            <w:bdr w:val="none" w:sz="0" w:space="0" w:color="auto" w:frame="1"/>
            <w:lang w:eastAsia="tr-TR"/>
          </w:rPr>
          <w:t>OFFICIAL LABEL (PRINTER FRIENDLY)</w:t>
        </w:r>
      </w:hyperlink>
    </w:p>
    <w:p w:rsidR="00285196" w:rsidRPr="00285196" w:rsidRDefault="00285196" w:rsidP="00285196">
      <w:pPr>
        <w:spacing w:after="0" w:line="240" w:lineRule="auto"/>
        <w:ind w:left="150" w:right="150"/>
        <w:textAlignment w:val="baseline"/>
        <w:rPr>
          <w:rFonts w:ascii="Arial" w:eastAsia="Times New Roman" w:hAnsi="Arial" w:cs="Arial"/>
          <w:caps/>
          <w:color w:val="1D86BB"/>
          <w:sz w:val="18"/>
          <w:szCs w:val="18"/>
          <w:lang w:eastAsia="tr-TR"/>
        </w:rPr>
      </w:pPr>
      <w:hyperlink r:id="rId31" w:history="1">
        <w:r w:rsidRPr="00285196">
          <w:rPr>
            <w:rFonts w:ascii="inherit" w:eastAsia="Times New Roman" w:hAnsi="inherit" w:cs="Arial"/>
            <w:caps/>
            <w:color w:val="1D86BB"/>
            <w:sz w:val="18"/>
            <w:szCs w:val="18"/>
            <w:u w:val="single"/>
            <w:bdr w:val="none" w:sz="0" w:space="0" w:color="auto" w:frame="1"/>
            <w:lang w:eastAsia="tr-TR"/>
          </w:rPr>
          <w:t>VIEW ALL SECTIONS</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32" w:history="1">
        <w:r w:rsidRPr="00285196">
          <w:rPr>
            <w:rFonts w:ascii="Arial" w:eastAsia="Times New Roman" w:hAnsi="Arial" w:cs="Arial"/>
            <w:caps/>
            <w:color w:val="000000"/>
            <w:sz w:val="30"/>
            <w:szCs w:val="30"/>
            <w:u w:val="single"/>
            <w:bdr w:val="none" w:sz="0" w:space="0" w:color="auto" w:frame="1"/>
            <w:lang w:eastAsia="tr-TR"/>
          </w:rPr>
          <w:t>HIGHLIGHTS OF PRESCRIBING INFORMATION</w:t>
        </w:r>
      </w:hyperlink>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br/>
        <w:t>These highlights do not include all the information needed to use Decitabine For Injection safely and effectively. See full prescribing information for Decitabine For Injection. </w:t>
      </w:r>
      <w:r w:rsidRPr="00285196">
        <w:rPr>
          <w:rFonts w:ascii="inherit" w:eastAsia="Times New Roman" w:hAnsi="inherit" w:cs="Arial"/>
          <w:b/>
          <w:bCs/>
          <w:color w:val="222222"/>
          <w:sz w:val="21"/>
          <w:szCs w:val="21"/>
          <w:bdr w:val="none" w:sz="0" w:space="0" w:color="auto" w:frame="1"/>
          <w:lang w:eastAsia="tr-TR"/>
        </w:rPr>
        <w:br/>
        <w:t>DECITABINE FOR INJECTION</w:t>
      </w:r>
      <w:r w:rsidRPr="00285196">
        <w:rPr>
          <w:rFonts w:ascii="inherit" w:eastAsia="Times New Roman" w:hAnsi="inherit" w:cs="Arial"/>
          <w:b/>
          <w:bCs/>
          <w:color w:val="222222"/>
          <w:sz w:val="21"/>
          <w:szCs w:val="21"/>
          <w:bdr w:val="none" w:sz="0" w:space="0" w:color="auto" w:frame="1"/>
          <w:lang w:eastAsia="tr-TR"/>
        </w:rPr>
        <w:br/>
        <w:t>Initial U.S. Approval: 2006</w:t>
      </w:r>
    </w:p>
    <w:p w:rsidR="00285196" w:rsidRPr="00285196" w:rsidRDefault="00285196" w:rsidP="00285196">
      <w:pPr>
        <w:spacing w:after="0" w:line="240" w:lineRule="auto"/>
        <w:ind w:left="600" w:right="150"/>
        <w:jc w:val="center"/>
        <w:textAlignment w:val="baseline"/>
        <w:outlineLvl w:val="0"/>
        <w:rPr>
          <w:rFonts w:ascii="Arial" w:eastAsia="Times New Roman" w:hAnsi="Arial" w:cs="Arial"/>
          <w:caps/>
          <w:color w:val="000000"/>
          <w:kern w:val="36"/>
          <w:sz w:val="24"/>
          <w:szCs w:val="24"/>
          <w:lang w:eastAsia="tr-TR"/>
        </w:rPr>
      </w:pPr>
      <w:r w:rsidRPr="00285196">
        <w:rPr>
          <w:rFonts w:ascii="inherit" w:eastAsia="Times New Roman" w:hAnsi="inherit" w:cs="Arial"/>
          <w:caps/>
          <w:color w:val="000000"/>
          <w:kern w:val="36"/>
          <w:sz w:val="24"/>
          <w:szCs w:val="24"/>
          <w:bdr w:val="none" w:sz="0" w:space="0" w:color="auto" w:frame="1"/>
          <w:shd w:val="clear" w:color="auto" w:fill="FFFFFF"/>
          <w:lang w:eastAsia="tr-TR"/>
        </w:rPr>
        <w:t>RECENT MAJOR CHANGES</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Dosage and Administration (</w:t>
      </w:r>
      <w:hyperlink r:id="rId33" w:anchor="_e6fefd21-9ebb-7d41-3d91-723f27457aa4" w:history="1">
        <w:proofErr w:type="gramStart"/>
        <w:r w:rsidRPr="00285196">
          <w:rPr>
            <w:rFonts w:ascii="Arial" w:eastAsia="Times New Roman" w:hAnsi="Arial" w:cs="Arial"/>
            <w:caps/>
            <w:color w:val="1D86BB"/>
            <w:sz w:val="21"/>
            <w:szCs w:val="21"/>
            <w:u w:val="single"/>
            <w:bdr w:val="none" w:sz="0" w:space="0" w:color="auto" w:frame="1"/>
            <w:lang w:eastAsia="tr-TR"/>
          </w:rPr>
          <w:t>2.2</w:t>
        </w:r>
        <w:proofErr w:type="gramEnd"/>
      </w:hyperlink>
      <w:r w:rsidRPr="00285196">
        <w:rPr>
          <w:rFonts w:ascii="inherit" w:eastAsia="Times New Roman" w:hAnsi="inherit" w:cs="Arial"/>
          <w:color w:val="222222"/>
          <w:sz w:val="21"/>
          <w:szCs w:val="21"/>
          <w:lang w:eastAsia="tr-TR"/>
        </w:rPr>
        <w:t>)                                             03/2010</w:t>
      </w:r>
    </w:p>
    <w:p w:rsidR="00285196" w:rsidRPr="00285196" w:rsidRDefault="00285196" w:rsidP="00285196">
      <w:pPr>
        <w:spacing w:after="0" w:line="240" w:lineRule="auto"/>
        <w:ind w:left="600" w:right="150"/>
        <w:jc w:val="center"/>
        <w:textAlignment w:val="baseline"/>
        <w:outlineLvl w:val="0"/>
        <w:rPr>
          <w:rFonts w:ascii="Arial" w:eastAsia="Times New Roman" w:hAnsi="Arial" w:cs="Arial"/>
          <w:caps/>
          <w:color w:val="000000"/>
          <w:kern w:val="36"/>
          <w:sz w:val="24"/>
          <w:szCs w:val="24"/>
          <w:lang w:eastAsia="tr-TR"/>
        </w:rPr>
      </w:pPr>
      <w:r w:rsidRPr="00285196">
        <w:rPr>
          <w:rFonts w:ascii="inherit" w:eastAsia="Times New Roman" w:hAnsi="inherit" w:cs="Arial"/>
          <w:caps/>
          <w:color w:val="000000"/>
          <w:kern w:val="36"/>
          <w:sz w:val="24"/>
          <w:szCs w:val="24"/>
          <w:bdr w:val="none" w:sz="0" w:space="0" w:color="auto" w:frame="1"/>
          <w:shd w:val="clear" w:color="auto" w:fill="FFFFFF"/>
          <w:lang w:eastAsia="tr-TR"/>
        </w:rPr>
        <w:t>INDICATIONS AND USAGE</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proofErr w:type="gramStart"/>
      <w:r w:rsidRPr="00285196">
        <w:rPr>
          <w:rFonts w:ascii="inherit" w:eastAsia="Times New Roman" w:hAnsi="inherit" w:cs="Arial"/>
          <w:color w:val="222222"/>
          <w:sz w:val="21"/>
          <w:szCs w:val="21"/>
          <w:lang w:eastAsia="tr-TR"/>
        </w:rPr>
        <w:t>Decitabine For Injection is a nucleoside metabolic inhibitor indicated for treatment of patients with myelodysplastic syndromes (MDS) including previously treated and untreated, de novo and secondary MDS of all French-American-British subtypes (refractory anemia, refractory anemia with ringed sideroblasts, refractory anemia with excess blasts, refractory anemia with excess blasts in transformation, and chronic myelomonocytic leukemia) and intermediate-1, intermediate2, and high-risk International Prognostic Scoring System groups (</w:t>
      </w:r>
      <w:hyperlink r:id="rId34" w:anchor="section-1" w:history="1">
        <w:r w:rsidRPr="00285196">
          <w:rPr>
            <w:rFonts w:ascii="Arial" w:eastAsia="Times New Roman" w:hAnsi="Arial" w:cs="Arial"/>
            <w:caps/>
            <w:color w:val="1D86BB"/>
            <w:sz w:val="21"/>
            <w:szCs w:val="21"/>
            <w:u w:val="single"/>
            <w:bdr w:val="none" w:sz="0" w:space="0" w:color="auto" w:frame="1"/>
            <w:lang w:eastAsia="tr-TR"/>
          </w:rPr>
          <w:t>1</w:t>
        </w:r>
      </w:hyperlink>
      <w:r w:rsidRPr="00285196">
        <w:rPr>
          <w:rFonts w:ascii="inherit" w:eastAsia="Times New Roman" w:hAnsi="inherit" w:cs="Arial"/>
          <w:color w:val="222222"/>
          <w:sz w:val="21"/>
          <w:szCs w:val="21"/>
          <w:lang w:eastAsia="tr-TR"/>
        </w:rPr>
        <w:t>)</w:t>
      </w:r>
      <w:proofErr w:type="gramEnd"/>
    </w:p>
    <w:p w:rsidR="00285196" w:rsidRPr="00285196" w:rsidRDefault="00285196" w:rsidP="00285196">
      <w:pPr>
        <w:spacing w:after="0" w:line="240" w:lineRule="auto"/>
        <w:ind w:left="600" w:right="150"/>
        <w:jc w:val="center"/>
        <w:textAlignment w:val="baseline"/>
        <w:outlineLvl w:val="0"/>
        <w:rPr>
          <w:rFonts w:ascii="Arial" w:eastAsia="Times New Roman" w:hAnsi="Arial" w:cs="Arial"/>
          <w:caps/>
          <w:color w:val="000000"/>
          <w:kern w:val="36"/>
          <w:sz w:val="24"/>
          <w:szCs w:val="24"/>
          <w:lang w:eastAsia="tr-TR"/>
        </w:rPr>
      </w:pPr>
      <w:r w:rsidRPr="00285196">
        <w:rPr>
          <w:rFonts w:ascii="inherit" w:eastAsia="Times New Roman" w:hAnsi="inherit" w:cs="Arial"/>
          <w:caps/>
          <w:color w:val="000000"/>
          <w:kern w:val="36"/>
          <w:sz w:val="24"/>
          <w:szCs w:val="24"/>
          <w:bdr w:val="none" w:sz="0" w:space="0" w:color="auto" w:frame="1"/>
          <w:shd w:val="clear" w:color="auto" w:fill="FFFFFF"/>
          <w:lang w:eastAsia="tr-TR"/>
        </w:rPr>
        <w:t>DOSAGE AND ADMINISTRATION</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There are two regimens for decitabine for injection administration. With either regimen it is recommended that patients be treated for a minimum of 4 cycles; however, a complete or partial response may take longer than 4 cycles (</w:t>
      </w:r>
      <w:hyperlink r:id="rId35" w:anchor="DOSAGE_AND_ADMINISTRATION" w:history="1">
        <w:r w:rsidRPr="00285196">
          <w:rPr>
            <w:rFonts w:ascii="Arial" w:eastAsia="Times New Roman" w:hAnsi="Arial" w:cs="Arial"/>
            <w:caps/>
            <w:color w:val="1D86BB"/>
            <w:sz w:val="21"/>
            <w:szCs w:val="21"/>
            <w:u w:val="single"/>
            <w:bdr w:val="none" w:sz="0" w:space="0" w:color="auto" w:frame="1"/>
            <w:lang w:eastAsia="tr-TR"/>
          </w:rPr>
          <w:t>2)</w:t>
        </w:r>
      </w:hyperlink>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 </w:t>
      </w:r>
      <w:r w:rsidRPr="00285196">
        <w:rPr>
          <w:rFonts w:ascii="inherit" w:eastAsia="Times New Roman" w:hAnsi="inherit" w:cs="Arial"/>
          <w:b/>
          <w:bCs/>
          <w:color w:val="222222"/>
          <w:sz w:val="21"/>
          <w:szCs w:val="21"/>
          <w:bdr w:val="none" w:sz="0" w:space="0" w:color="auto" w:frame="1"/>
          <w:lang w:eastAsia="tr-TR"/>
        </w:rPr>
        <w:t>Treatment Regimen – Option 1 </w:t>
      </w:r>
      <w:r w:rsidRPr="00285196">
        <w:rPr>
          <w:rFonts w:ascii="inherit" w:eastAsia="Times New Roman" w:hAnsi="inherit" w:cs="Arial"/>
          <w:color w:val="222222"/>
          <w:sz w:val="21"/>
          <w:szCs w:val="21"/>
          <w:lang w:eastAsia="tr-TR"/>
        </w:rPr>
        <w:t>Administer decitabine for injection at a dose of 15 mg/mby continuous intravenous infusion over 3 hours repeated every 8 hours for 3 days. Repeat cycle every 6 weeks (</w:t>
      </w:r>
      <w:hyperlink r:id="rId36" w:anchor="_ff18cd42-dfe2-9bb6-86b7-f7fcbe7e1436" w:history="1">
        <w:proofErr w:type="gramStart"/>
        <w:r w:rsidRPr="00285196">
          <w:rPr>
            <w:rFonts w:ascii="Arial" w:eastAsia="Times New Roman" w:hAnsi="Arial" w:cs="Arial"/>
            <w:caps/>
            <w:color w:val="1D86BB"/>
            <w:sz w:val="21"/>
            <w:szCs w:val="21"/>
            <w:u w:val="single"/>
            <w:bdr w:val="none" w:sz="0" w:space="0" w:color="auto" w:frame="1"/>
            <w:lang w:eastAsia="tr-TR"/>
          </w:rPr>
          <w:t>2.1</w:t>
        </w:r>
        <w:proofErr w:type="gramEnd"/>
        <w:r w:rsidRPr="00285196">
          <w:rPr>
            <w:rFonts w:ascii="Arial" w:eastAsia="Times New Roman" w:hAnsi="Arial" w:cs="Arial"/>
            <w:caps/>
            <w:color w:val="1D86BB"/>
            <w:sz w:val="21"/>
            <w:szCs w:val="21"/>
            <w:u w:val="single"/>
            <w:bdr w:val="none" w:sz="0" w:space="0" w:color="auto" w:frame="1"/>
            <w:lang w:eastAsia="tr-TR"/>
          </w:rPr>
          <w:t>)</w:t>
        </w:r>
      </w:hyperlink>
      <w:r w:rsidRPr="00285196">
        <w:rPr>
          <w:rFonts w:ascii="inherit" w:eastAsia="Times New Roman" w:hAnsi="inherit" w:cs="Arial"/>
          <w:color w:val="222222"/>
          <w:sz w:val="21"/>
          <w:szCs w:val="21"/>
          <w:lang w:eastAsia="tr-TR"/>
        </w:rPr>
        <w:t>.</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 </w:t>
      </w:r>
      <w:r w:rsidRPr="00285196">
        <w:rPr>
          <w:rFonts w:ascii="inherit" w:eastAsia="Times New Roman" w:hAnsi="inherit" w:cs="Arial"/>
          <w:b/>
          <w:bCs/>
          <w:color w:val="222222"/>
          <w:sz w:val="21"/>
          <w:szCs w:val="21"/>
          <w:bdr w:val="none" w:sz="0" w:space="0" w:color="auto" w:frame="1"/>
          <w:lang w:eastAsia="tr-TR"/>
        </w:rPr>
        <w:t>Treatment Regimen – Option 2 </w:t>
      </w:r>
      <w:r w:rsidRPr="00285196">
        <w:rPr>
          <w:rFonts w:ascii="inherit" w:eastAsia="Times New Roman" w:hAnsi="inherit" w:cs="Arial"/>
          <w:color w:val="222222"/>
          <w:sz w:val="21"/>
          <w:szCs w:val="21"/>
          <w:lang w:eastAsia="tr-TR"/>
        </w:rPr>
        <w:t>Administer decitabine for injection at a dose of 20 mg/mby continuous intravenous infusion over 1 hour repeated daily for 5 days. Repeat cycle every 4 weeks (</w:t>
      </w:r>
      <w:hyperlink r:id="rId37" w:anchor="_e6fefd21-9ebb-7d41-3d91-723f27457aa4" w:history="1">
        <w:proofErr w:type="gramStart"/>
        <w:r w:rsidRPr="00285196">
          <w:rPr>
            <w:rFonts w:ascii="Arial" w:eastAsia="Times New Roman" w:hAnsi="Arial" w:cs="Arial"/>
            <w:caps/>
            <w:color w:val="1D86BB"/>
            <w:sz w:val="21"/>
            <w:szCs w:val="21"/>
            <w:u w:val="single"/>
            <w:bdr w:val="none" w:sz="0" w:space="0" w:color="auto" w:frame="1"/>
            <w:lang w:eastAsia="tr-TR"/>
          </w:rPr>
          <w:t>2.2</w:t>
        </w:r>
        <w:proofErr w:type="gramEnd"/>
        <w:r w:rsidRPr="00285196">
          <w:rPr>
            <w:rFonts w:ascii="Arial" w:eastAsia="Times New Roman" w:hAnsi="Arial" w:cs="Arial"/>
            <w:caps/>
            <w:color w:val="1D86BB"/>
            <w:sz w:val="21"/>
            <w:szCs w:val="21"/>
            <w:u w:val="single"/>
            <w:bdr w:val="none" w:sz="0" w:space="0" w:color="auto" w:frame="1"/>
            <w:lang w:eastAsia="tr-TR"/>
          </w:rPr>
          <w:t>)</w:t>
        </w:r>
      </w:hyperlink>
      <w:r w:rsidRPr="00285196">
        <w:rPr>
          <w:rFonts w:ascii="inherit" w:eastAsia="Times New Roman" w:hAnsi="inherit" w:cs="Arial"/>
          <w:color w:val="222222"/>
          <w:sz w:val="21"/>
          <w:szCs w:val="21"/>
          <w:lang w:eastAsia="tr-TR"/>
        </w:rPr>
        <w:t>.</w:t>
      </w:r>
    </w:p>
    <w:p w:rsidR="00285196" w:rsidRPr="00285196" w:rsidRDefault="00285196" w:rsidP="00285196">
      <w:pPr>
        <w:spacing w:after="0" w:line="240" w:lineRule="auto"/>
        <w:ind w:left="600" w:right="150"/>
        <w:jc w:val="center"/>
        <w:textAlignment w:val="baseline"/>
        <w:outlineLvl w:val="0"/>
        <w:rPr>
          <w:rFonts w:ascii="Arial" w:eastAsia="Times New Roman" w:hAnsi="Arial" w:cs="Arial"/>
          <w:caps/>
          <w:color w:val="000000"/>
          <w:kern w:val="36"/>
          <w:sz w:val="24"/>
          <w:szCs w:val="24"/>
          <w:lang w:eastAsia="tr-TR"/>
        </w:rPr>
      </w:pPr>
      <w:r w:rsidRPr="00285196">
        <w:rPr>
          <w:rFonts w:ascii="inherit" w:eastAsia="Times New Roman" w:hAnsi="inherit" w:cs="Arial"/>
          <w:caps/>
          <w:color w:val="000000"/>
          <w:kern w:val="36"/>
          <w:sz w:val="24"/>
          <w:szCs w:val="24"/>
          <w:bdr w:val="none" w:sz="0" w:space="0" w:color="auto" w:frame="1"/>
          <w:shd w:val="clear" w:color="auto" w:fill="FFFFFF"/>
          <w:lang w:eastAsia="tr-TR"/>
        </w:rPr>
        <w:t>DOSAGE FORMS AND STRENGTHS</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Lyophilized powder in a single-dose vial, 50 mg/vial (</w:t>
      </w:r>
      <w:hyperlink r:id="rId38" w:anchor="section-3" w:history="1">
        <w:r w:rsidRPr="00285196">
          <w:rPr>
            <w:rFonts w:ascii="Arial" w:eastAsia="Times New Roman" w:hAnsi="Arial" w:cs="Arial"/>
            <w:caps/>
            <w:color w:val="1D86BB"/>
            <w:sz w:val="21"/>
            <w:szCs w:val="21"/>
            <w:u w:val="single"/>
            <w:bdr w:val="none" w:sz="0" w:space="0" w:color="auto" w:frame="1"/>
            <w:lang w:eastAsia="tr-TR"/>
          </w:rPr>
          <w:t>3</w:t>
        </w:r>
      </w:hyperlink>
      <w:r w:rsidRPr="00285196">
        <w:rPr>
          <w:rFonts w:ascii="inherit" w:eastAsia="Times New Roman" w:hAnsi="inherit" w:cs="Arial"/>
          <w:color w:val="222222"/>
          <w:sz w:val="21"/>
          <w:szCs w:val="21"/>
          <w:lang w:eastAsia="tr-TR"/>
        </w:rPr>
        <w:t>)</w:t>
      </w:r>
    </w:p>
    <w:p w:rsidR="00285196" w:rsidRPr="00285196" w:rsidRDefault="00285196" w:rsidP="00285196">
      <w:pPr>
        <w:spacing w:after="0" w:line="240" w:lineRule="auto"/>
        <w:ind w:left="600" w:right="150"/>
        <w:jc w:val="center"/>
        <w:textAlignment w:val="baseline"/>
        <w:outlineLvl w:val="0"/>
        <w:rPr>
          <w:rFonts w:ascii="Arial" w:eastAsia="Times New Roman" w:hAnsi="Arial" w:cs="Arial"/>
          <w:caps/>
          <w:color w:val="000000"/>
          <w:kern w:val="36"/>
          <w:sz w:val="24"/>
          <w:szCs w:val="24"/>
          <w:lang w:eastAsia="tr-TR"/>
        </w:rPr>
      </w:pPr>
      <w:r w:rsidRPr="00285196">
        <w:rPr>
          <w:rFonts w:ascii="inherit" w:eastAsia="Times New Roman" w:hAnsi="inherit" w:cs="Arial"/>
          <w:caps/>
          <w:color w:val="000000"/>
          <w:kern w:val="36"/>
          <w:sz w:val="24"/>
          <w:szCs w:val="24"/>
          <w:bdr w:val="none" w:sz="0" w:space="0" w:color="auto" w:frame="1"/>
          <w:shd w:val="clear" w:color="auto" w:fill="FFFFFF"/>
          <w:lang w:eastAsia="tr-TR"/>
        </w:rPr>
        <w:t>CONTRAINDICATIONS</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None (</w:t>
      </w:r>
      <w:hyperlink r:id="rId39" w:anchor="section-4" w:history="1">
        <w:r w:rsidRPr="00285196">
          <w:rPr>
            <w:rFonts w:ascii="Arial" w:eastAsia="Times New Roman" w:hAnsi="Arial" w:cs="Arial"/>
            <w:caps/>
            <w:color w:val="1D86BB"/>
            <w:sz w:val="21"/>
            <w:szCs w:val="21"/>
            <w:u w:val="single"/>
            <w:bdr w:val="none" w:sz="0" w:space="0" w:color="auto" w:frame="1"/>
            <w:lang w:eastAsia="tr-TR"/>
          </w:rPr>
          <w:t>4</w:t>
        </w:r>
      </w:hyperlink>
      <w:r w:rsidRPr="00285196">
        <w:rPr>
          <w:rFonts w:ascii="inherit" w:eastAsia="Times New Roman" w:hAnsi="inherit" w:cs="Arial"/>
          <w:color w:val="222222"/>
          <w:sz w:val="21"/>
          <w:szCs w:val="21"/>
          <w:lang w:eastAsia="tr-TR"/>
        </w:rPr>
        <w:t>)</w:t>
      </w:r>
    </w:p>
    <w:p w:rsidR="00285196" w:rsidRPr="00285196" w:rsidRDefault="00285196" w:rsidP="00285196">
      <w:pPr>
        <w:spacing w:after="0" w:line="240" w:lineRule="auto"/>
        <w:ind w:left="600" w:right="150"/>
        <w:jc w:val="center"/>
        <w:textAlignment w:val="baseline"/>
        <w:outlineLvl w:val="0"/>
        <w:rPr>
          <w:rFonts w:ascii="Arial" w:eastAsia="Times New Roman" w:hAnsi="Arial" w:cs="Arial"/>
          <w:caps/>
          <w:color w:val="000000"/>
          <w:kern w:val="36"/>
          <w:sz w:val="24"/>
          <w:szCs w:val="24"/>
          <w:lang w:eastAsia="tr-TR"/>
        </w:rPr>
      </w:pPr>
      <w:r w:rsidRPr="00285196">
        <w:rPr>
          <w:rFonts w:ascii="inherit" w:eastAsia="Times New Roman" w:hAnsi="inherit" w:cs="Arial"/>
          <w:caps/>
          <w:color w:val="000000"/>
          <w:kern w:val="36"/>
          <w:sz w:val="24"/>
          <w:szCs w:val="24"/>
          <w:bdr w:val="none" w:sz="0" w:space="0" w:color="auto" w:frame="1"/>
          <w:shd w:val="clear" w:color="auto" w:fill="FFFFFF"/>
          <w:lang w:eastAsia="tr-TR"/>
        </w:rPr>
        <w:t>WARNINGS AND PRECAUTIONS</w:t>
      </w:r>
    </w:p>
    <w:p w:rsidR="00285196" w:rsidRPr="00285196" w:rsidRDefault="00285196" w:rsidP="00285196">
      <w:pPr>
        <w:numPr>
          <w:ilvl w:val="1"/>
          <w:numId w:val="12"/>
        </w:numPr>
        <w:spacing w:after="0"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Neutropenia and thrombocytopenia: Perform complete blood counts and platelet counts. (</w:t>
      </w:r>
      <w:hyperlink r:id="rId40" w:anchor="_56758604-e935-0b0e-1cc7-5cd9d17876ba" w:history="1">
        <w:r w:rsidRPr="00285196">
          <w:rPr>
            <w:rFonts w:ascii="Arial" w:eastAsia="Times New Roman" w:hAnsi="Arial" w:cs="Arial"/>
            <w:caps/>
            <w:color w:val="1D86BB"/>
            <w:sz w:val="21"/>
            <w:szCs w:val="21"/>
            <w:u w:val="single"/>
            <w:bdr w:val="none" w:sz="0" w:space="0" w:color="auto" w:frame="1"/>
            <w:lang w:eastAsia="tr-TR"/>
          </w:rPr>
          <w:t>5.1</w:t>
        </w:r>
      </w:hyperlink>
      <w:r w:rsidRPr="00285196">
        <w:rPr>
          <w:rFonts w:ascii="inherit" w:eastAsia="Times New Roman" w:hAnsi="inherit" w:cs="Arial"/>
          <w:color w:val="222222"/>
          <w:sz w:val="21"/>
          <w:szCs w:val="21"/>
          <w:lang w:eastAsia="tr-TR"/>
        </w:rPr>
        <w:t>)</w:t>
      </w:r>
    </w:p>
    <w:p w:rsidR="00285196" w:rsidRPr="00285196" w:rsidRDefault="00285196" w:rsidP="00285196">
      <w:pPr>
        <w:numPr>
          <w:ilvl w:val="1"/>
          <w:numId w:val="12"/>
        </w:numPr>
        <w:spacing w:after="0"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Pregnancy: Can cause fetal harm. Advise women of potential risk to the fetus (</w:t>
      </w:r>
      <w:hyperlink r:id="rId41" w:anchor="_e3fbdc13-1900-588b-14f4-d0ef87f9bee2" w:history="1">
        <w:proofErr w:type="gramStart"/>
        <w:r w:rsidRPr="00285196">
          <w:rPr>
            <w:rFonts w:ascii="Arial" w:eastAsia="Times New Roman" w:hAnsi="Arial" w:cs="Arial"/>
            <w:caps/>
            <w:color w:val="1D86BB"/>
            <w:sz w:val="21"/>
            <w:szCs w:val="21"/>
            <w:u w:val="single"/>
            <w:bdr w:val="none" w:sz="0" w:space="0" w:color="auto" w:frame="1"/>
            <w:lang w:eastAsia="tr-TR"/>
          </w:rPr>
          <w:t>5.2</w:t>
        </w:r>
        <w:proofErr w:type="gramEnd"/>
        <w:r w:rsidRPr="00285196">
          <w:rPr>
            <w:rFonts w:ascii="Arial" w:eastAsia="Times New Roman" w:hAnsi="Arial" w:cs="Arial"/>
            <w:caps/>
            <w:color w:val="1D86BB"/>
            <w:sz w:val="21"/>
            <w:szCs w:val="21"/>
            <w:u w:val="single"/>
            <w:bdr w:val="none" w:sz="0" w:space="0" w:color="auto" w:frame="1"/>
            <w:lang w:eastAsia="tr-TR"/>
          </w:rPr>
          <w:t>,</w:t>
        </w:r>
      </w:hyperlink>
      <w:hyperlink r:id="rId42" w:anchor="PREGNANCY" w:history="1">
        <w:r w:rsidRPr="00285196">
          <w:rPr>
            <w:rFonts w:ascii="Arial" w:eastAsia="Times New Roman" w:hAnsi="Arial" w:cs="Arial"/>
            <w:caps/>
            <w:color w:val="1D86BB"/>
            <w:sz w:val="21"/>
            <w:szCs w:val="21"/>
            <w:u w:val="single"/>
            <w:bdr w:val="none" w:sz="0" w:space="0" w:color="auto" w:frame="1"/>
            <w:lang w:eastAsia="tr-TR"/>
          </w:rPr>
          <w:t>8.1</w:t>
        </w:r>
      </w:hyperlink>
      <w:r w:rsidRPr="00285196">
        <w:rPr>
          <w:rFonts w:ascii="inherit" w:eastAsia="Times New Roman" w:hAnsi="inherit" w:cs="Arial"/>
          <w:color w:val="222222"/>
          <w:sz w:val="21"/>
          <w:szCs w:val="21"/>
          <w:lang w:eastAsia="tr-TR"/>
        </w:rPr>
        <w:t>)</w:t>
      </w:r>
    </w:p>
    <w:p w:rsidR="00285196" w:rsidRPr="00285196" w:rsidRDefault="00285196" w:rsidP="00285196">
      <w:pPr>
        <w:numPr>
          <w:ilvl w:val="1"/>
          <w:numId w:val="12"/>
        </w:numPr>
        <w:spacing w:after="0"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Women of childbearing potential and men with female partners of childbearing potential should use effective contraception and avoid pregnancy (</w:t>
      </w:r>
      <w:hyperlink r:id="rId43" w:anchor="_0976f89f-da44-fa42-d3d6-7e0f1931fcec" w:history="1">
        <w:proofErr w:type="gramStart"/>
        <w:r w:rsidRPr="00285196">
          <w:rPr>
            <w:rFonts w:ascii="Arial" w:eastAsia="Times New Roman" w:hAnsi="Arial" w:cs="Arial"/>
            <w:caps/>
            <w:color w:val="1D86BB"/>
            <w:sz w:val="21"/>
            <w:szCs w:val="21"/>
            <w:u w:val="single"/>
            <w:bdr w:val="none" w:sz="0" w:space="0" w:color="auto" w:frame="1"/>
            <w:lang w:eastAsia="tr-TR"/>
          </w:rPr>
          <w:t>5.3</w:t>
        </w:r>
        <w:proofErr w:type="gramEnd"/>
      </w:hyperlink>
      <w:r w:rsidRPr="00285196">
        <w:rPr>
          <w:rFonts w:ascii="inherit" w:eastAsia="Times New Roman" w:hAnsi="inherit" w:cs="Arial"/>
          <w:color w:val="222222"/>
          <w:sz w:val="21"/>
          <w:szCs w:val="21"/>
          <w:lang w:eastAsia="tr-TR"/>
        </w:rPr>
        <w:t>, </w:t>
      </w:r>
      <w:hyperlink r:id="rId44" w:anchor="_16d3dcfc-cd28-5aef-3c56-5b09bc2b417a" w:history="1">
        <w:r w:rsidRPr="00285196">
          <w:rPr>
            <w:rFonts w:ascii="Arial" w:eastAsia="Times New Roman" w:hAnsi="Arial" w:cs="Arial"/>
            <w:caps/>
            <w:color w:val="1D86BB"/>
            <w:sz w:val="21"/>
            <w:szCs w:val="21"/>
            <w:u w:val="single"/>
            <w:bdr w:val="none" w:sz="0" w:space="0" w:color="auto" w:frame="1"/>
            <w:lang w:eastAsia="tr-TR"/>
          </w:rPr>
          <w:t>5.</w:t>
        </w:r>
      </w:hyperlink>
      <w:r w:rsidRPr="00285196">
        <w:rPr>
          <w:rFonts w:ascii="inherit" w:eastAsia="Times New Roman" w:hAnsi="inherit" w:cs="Arial"/>
          <w:color w:val="222222"/>
          <w:sz w:val="21"/>
          <w:szCs w:val="21"/>
          <w:lang w:eastAsia="tr-TR"/>
        </w:rPr>
        <w:t>4)</w:t>
      </w:r>
    </w:p>
    <w:p w:rsidR="00285196" w:rsidRPr="00285196" w:rsidRDefault="00285196" w:rsidP="00285196">
      <w:pPr>
        <w:spacing w:after="0" w:line="240" w:lineRule="auto"/>
        <w:ind w:left="600" w:right="150"/>
        <w:jc w:val="center"/>
        <w:textAlignment w:val="baseline"/>
        <w:outlineLvl w:val="0"/>
        <w:rPr>
          <w:rFonts w:ascii="Arial" w:eastAsia="Times New Roman" w:hAnsi="Arial" w:cs="Arial"/>
          <w:caps/>
          <w:color w:val="000000"/>
          <w:kern w:val="36"/>
          <w:sz w:val="24"/>
          <w:szCs w:val="24"/>
          <w:lang w:eastAsia="tr-TR"/>
        </w:rPr>
      </w:pPr>
      <w:r w:rsidRPr="00285196">
        <w:rPr>
          <w:rFonts w:ascii="inherit" w:eastAsia="Times New Roman" w:hAnsi="inherit" w:cs="Arial"/>
          <w:caps/>
          <w:color w:val="000000"/>
          <w:kern w:val="36"/>
          <w:sz w:val="24"/>
          <w:szCs w:val="24"/>
          <w:bdr w:val="none" w:sz="0" w:space="0" w:color="auto" w:frame="1"/>
          <w:shd w:val="clear" w:color="auto" w:fill="FFFFFF"/>
          <w:lang w:eastAsia="tr-TR"/>
        </w:rPr>
        <w:t>ADVERSE REACTIONS</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Most common adverse reactions (&gt; 50%) are neutropenia, thrombocytopenia, anemia, and pyrexia. </w:t>
      </w:r>
      <w:hyperlink r:id="rId45" w:anchor="_275ce0c0-5084-2108-a5a2-aeefe5b93d55" w:history="1">
        <w:r w:rsidRPr="00285196">
          <w:rPr>
            <w:rFonts w:ascii="Arial" w:eastAsia="Times New Roman" w:hAnsi="Arial" w:cs="Arial"/>
            <w:caps/>
            <w:color w:val="1D86BB"/>
            <w:sz w:val="21"/>
            <w:szCs w:val="21"/>
            <w:u w:val="single"/>
            <w:bdr w:val="none" w:sz="0" w:space="0" w:color="auto" w:frame="1"/>
            <w:lang w:eastAsia="tr-TR"/>
          </w:rPr>
          <w:t>(6.1)</w:t>
        </w:r>
      </w:hyperlink>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t>To report SUSPECTED ADVERSE REACTIONS, contact Dr. REDDY’S LABORATORIES Inc</w:t>
      </w:r>
      <w:proofErr w:type="gramStart"/>
      <w:r w:rsidRPr="00285196">
        <w:rPr>
          <w:rFonts w:ascii="inherit" w:eastAsia="Times New Roman" w:hAnsi="inherit" w:cs="Arial"/>
          <w:b/>
          <w:bCs/>
          <w:color w:val="222222"/>
          <w:sz w:val="21"/>
          <w:szCs w:val="21"/>
          <w:bdr w:val="none" w:sz="0" w:space="0" w:color="auto" w:frame="1"/>
          <w:lang w:eastAsia="tr-TR"/>
        </w:rPr>
        <w:t>.,</w:t>
      </w:r>
      <w:proofErr w:type="gramEnd"/>
      <w:r w:rsidRPr="00285196">
        <w:rPr>
          <w:rFonts w:ascii="inherit" w:eastAsia="Times New Roman" w:hAnsi="inherit" w:cs="Arial"/>
          <w:b/>
          <w:bCs/>
          <w:color w:val="222222"/>
          <w:sz w:val="21"/>
          <w:szCs w:val="21"/>
          <w:bdr w:val="none" w:sz="0" w:space="0" w:color="auto" w:frame="1"/>
          <w:lang w:eastAsia="tr-TR"/>
        </w:rPr>
        <w:t xml:space="preserve"> at 1-888-375-3784 or FDA at 1-800-FDA-1088 or www.fda.gov/medwatch.</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See 17 for PATIENT COUNSELING INFORMATION.</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Revised: 7/2014</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46"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47" w:history="1">
        <w:r w:rsidRPr="00285196">
          <w:rPr>
            <w:rFonts w:ascii="Arial" w:eastAsia="Times New Roman" w:hAnsi="Arial" w:cs="Arial"/>
            <w:caps/>
            <w:color w:val="000000"/>
            <w:sz w:val="30"/>
            <w:szCs w:val="30"/>
            <w:u w:val="single"/>
            <w:bdr w:val="none" w:sz="0" w:space="0" w:color="auto" w:frame="1"/>
            <w:lang w:eastAsia="tr-TR"/>
          </w:rPr>
          <w:t>FULL PRESCRIBING INFORMATION: CONTENTS*</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48" w:anchor="section-1" w:history="1">
        <w:r w:rsidRPr="00285196">
          <w:rPr>
            <w:rFonts w:ascii="Arial" w:eastAsia="Times New Roman" w:hAnsi="Arial" w:cs="Arial"/>
            <w:caps/>
            <w:color w:val="1D86BB"/>
            <w:kern w:val="36"/>
            <w:sz w:val="21"/>
            <w:szCs w:val="21"/>
            <w:u w:val="single"/>
            <w:bdr w:val="none" w:sz="0" w:space="0" w:color="auto" w:frame="1"/>
            <w:lang w:eastAsia="tr-TR"/>
          </w:rPr>
          <w:t>1 INDICATIONS AND USAGE</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49" w:anchor="section-2" w:history="1">
        <w:r w:rsidRPr="00285196">
          <w:rPr>
            <w:rFonts w:ascii="Arial" w:eastAsia="Times New Roman" w:hAnsi="Arial" w:cs="Arial"/>
            <w:caps/>
            <w:color w:val="1D86BB"/>
            <w:kern w:val="36"/>
            <w:sz w:val="21"/>
            <w:szCs w:val="21"/>
            <w:u w:val="single"/>
            <w:bdr w:val="none" w:sz="0" w:space="0" w:color="auto" w:frame="1"/>
            <w:lang w:eastAsia="tr-TR"/>
          </w:rPr>
          <w:t>2 DOSAGE AND ADMINISTRATION</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50" w:anchor="section-2.1" w:history="1">
        <w:r w:rsidRPr="00285196">
          <w:rPr>
            <w:rFonts w:ascii="inherit" w:eastAsia="Times New Roman" w:hAnsi="inherit" w:cs="Arial"/>
            <w:b/>
            <w:bCs/>
            <w:color w:val="1D86BB"/>
            <w:sz w:val="21"/>
            <w:szCs w:val="21"/>
            <w:u w:val="single"/>
            <w:bdr w:val="none" w:sz="0" w:space="0" w:color="auto" w:frame="1"/>
            <w:lang w:eastAsia="tr-TR"/>
          </w:rPr>
          <w:t>2.1 Treatment Regimen – Option 1</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51" w:anchor="section-2.2" w:history="1">
        <w:r w:rsidRPr="00285196">
          <w:rPr>
            <w:rFonts w:ascii="inherit" w:eastAsia="Times New Roman" w:hAnsi="inherit" w:cs="Arial"/>
            <w:b/>
            <w:bCs/>
            <w:color w:val="1D86BB"/>
            <w:sz w:val="21"/>
            <w:szCs w:val="21"/>
            <w:u w:val="single"/>
            <w:bdr w:val="none" w:sz="0" w:space="0" w:color="auto" w:frame="1"/>
            <w:lang w:eastAsia="tr-TR"/>
          </w:rPr>
          <w:t>2.2 Treatment Regimen – Option 2</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52" w:anchor="section-2.3" w:history="1">
        <w:r w:rsidRPr="00285196">
          <w:rPr>
            <w:rFonts w:ascii="inherit" w:eastAsia="Times New Roman" w:hAnsi="inherit" w:cs="Arial"/>
            <w:b/>
            <w:bCs/>
            <w:color w:val="1D86BB"/>
            <w:sz w:val="21"/>
            <w:szCs w:val="21"/>
            <w:u w:val="single"/>
            <w:bdr w:val="none" w:sz="0" w:space="0" w:color="auto" w:frame="1"/>
            <w:lang w:eastAsia="tr-TR"/>
          </w:rPr>
          <w:t>2.3 Patients with Non-hematologic Toxicity</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53" w:anchor="section-2.4" w:history="1">
        <w:r w:rsidRPr="00285196">
          <w:rPr>
            <w:rFonts w:ascii="inherit" w:eastAsia="Times New Roman" w:hAnsi="inherit" w:cs="Arial"/>
            <w:b/>
            <w:bCs/>
            <w:color w:val="1D86BB"/>
            <w:sz w:val="21"/>
            <w:szCs w:val="21"/>
            <w:u w:val="single"/>
            <w:bdr w:val="none" w:sz="0" w:space="0" w:color="auto" w:frame="1"/>
            <w:lang w:eastAsia="tr-TR"/>
          </w:rPr>
          <w:t>2.4 Instructions for Intravenous Administration</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54" w:anchor="section-3" w:history="1">
        <w:r w:rsidRPr="00285196">
          <w:rPr>
            <w:rFonts w:ascii="Arial" w:eastAsia="Times New Roman" w:hAnsi="Arial" w:cs="Arial"/>
            <w:caps/>
            <w:color w:val="1D86BB"/>
            <w:kern w:val="36"/>
            <w:sz w:val="21"/>
            <w:szCs w:val="21"/>
            <w:u w:val="single"/>
            <w:bdr w:val="none" w:sz="0" w:space="0" w:color="auto" w:frame="1"/>
            <w:lang w:eastAsia="tr-TR"/>
          </w:rPr>
          <w:t>3 DOSAGE FORMS AND STRENGTHS</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55" w:anchor="section-4" w:history="1">
        <w:r w:rsidRPr="00285196">
          <w:rPr>
            <w:rFonts w:ascii="Arial" w:eastAsia="Times New Roman" w:hAnsi="Arial" w:cs="Arial"/>
            <w:caps/>
            <w:color w:val="1D86BB"/>
            <w:kern w:val="36"/>
            <w:sz w:val="21"/>
            <w:szCs w:val="21"/>
            <w:u w:val="single"/>
            <w:bdr w:val="none" w:sz="0" w:space="0" w:color="auto" w:frame="1"/>
            <w:lang w:eastAsia="tr-TR"/>
          </w:rPr>
          <w:t>4 CONTRAINDICATIONS</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56" w:anchor="section-5" w:history="1">
        <w:r w:rsidRPr="00285196">
          <w:rPr>
            <w:rFonts w:ascii="Arial" w:eastAsia="Times New Roman" w:hAnsi="Arial" w:cs="Arial"/>
            <w:caps/>
            <w:color w:val="1D86BB"/>
            <w:kern w:val="36"/>
            <w:sz w:val="21"/>
            <w:szCs w:val="21"/>
            <w:u w:val="single"/>
            <w:bdr w:val="none" w:sz="0" w:space="0" w:color="auto" w:frame="1"/>
            <w:lang w:eastAsia="tr-TR"/>
          </w:rPr>
          <w:t>5 WARNINGS AND PRECAUTIONS</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57" w:anchor="section-6" w:history="1">
        <w:r w:rsidRPr="00285196">
          <w:rPr>
            <w:rFonts w:ascii="inherit" w:eastAsia="Times New Roman" w:hAnsi="inherit" w:cs="Arial"/>
            <w:b/>
            <w:bCs/>
            <w:caps/>
            <w:color w:val="1D86BB"/>
            <w:kern w:val="36"/>
            <w:sz w:val="21"/>
            <w:szCs w:val="21"/>
            <w:u w:val="single"/>
            <w:bdr w:val="none" w:sz="0" w:space="0" w:color="auto" w:frame="1"/>
            <w:lang w:eastAsia="tr-TR"/>
          </w:rPr>
          <w:t>5.1 NEUTROPENIA AND THROMBOCYTOPENIA</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58" w:anchor="section-7" w:history="1">
        <w:r w:rsidRPr="00285196">
          <w:rPr>
            <w:rFonts w:ascii="inherit" w:eastAsia="Times New Roman" w:hAnsi="inherit" w:cs="Arial"/>
            <w:b/>
            <w:bCs/>
            <w:caps/>
            <w:color w:val="1D86BB"/>
            <w:kern w:val="36"/>
            <w:sz w:val="21"/>
            <w:szCs w:val="21"/>
            <w:u w:val="single"/>
            <w:bdr w:val="none" w:sz="0" w:space="0" w:color="auto" w:frame="1"/>
            <w:lang w:eastAsia="tr-TR"/>
          </w:rPr>
          <w:t>5.2 USE IN PREGNANCY</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59" w:anchor="section-8" w:history="1">
        <w:r w:rsidRPr="00285196">
          <w:rPr>
            <w:rFonts w:ascii="inherit" w:eastAsia="Times New Roman" w:hAnsi="inherit" w:cs="Arial"/>
            <w:b/>
            <w:bCs/>
            <w:caps/>
            <w:color w:val="1D86BB"/>
            <w:kern w:val="36"/>
            <w:sz w:val="21"/>
            <w:szCs w:val="21"/>
            <w:u w:val="single"/>
            <w:bdr w:val="none" w:sz="0" w:space="0" w:color="auto" w:frame="1"/>
            <w:lang w:eastAsia="tr-TR"/>
          </w:rPr>
          <w:t>5.3 USE IN WOMEN OF CHILDBEARING POTENTIAL</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60" w:anchor="section-9" w:history="1">
        <w:r w:rsidRPr="00285196">
          <w:rPr>
            <w:rFonts w:ascii="inherit" w:eastAsia="Times New Roman" w:hAnsi="inherit" w:cs="Arial"/>
            <w:b/>
            <w:bCs/>
            <w:caps/>
            <w:color w:val="1D86BB"/>
            <w:kern w:val="36"/>
            <w:sz w:val="21"/>
            <w:szCs w:val="21"/>
            <w:u w:val="single"/>
            <w:bdr w:val="none" w:sz="0" w:space="0" w:color="auto" w:frame="1"/>
            <w:lang w:eastAsia="tr-TR"/>
          </w:rPr>
          <w:t>5.4 USE IN MEN</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61" w:anchor="section-10" w:history="1">
        <w:r w:rsidRPr="00285196">
          <w:rPr>
            <w:rFonts w:ascii="Arial" w:eastAsia="Times New Roman" w:hAnsi="Arial" w:cs="Arial"/>
            <w:caps/>
            <w:color w:val="1D86BB"/>
            <w:kern w:val="36"/>
            <w:sz w:val="21"/>
            <w:szCs w:val="21"/>
            <w:u w:val="single"/>
            <w:bdr w:val="none" w:sz="0" w:space="0" w:color="auto" w:frame="1"/>
            <w:lang w:eastAsia="tr-TR"/>
          </w:rPr>
          <w:t>6 ADVERSE REACTIONS</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62" w:anchor="section-10.1" w:history="1">
        <w:r w:rsidRPr="00285196">
          <w:rPr>
            <w:rFonts w:ascii="inherit" w:eastAsia="Times New Roman" w:hAnsi="inherit" w:cs="Arial"/>
            <w:b/>
            <w:bCs/>
            <w:color w:val="1D86BB"/>
            <w:sz w:val="21"/>
            <w:szCs w:val="21"/>
            <w:u w:val="single"/>
            <w:bdr w:val="none" w:sz="0" w:space="0" w:color="auto" w:frame="1"/>
            <w:lang w:eastAsia="tr-TR"/>
          </w:rPr>
          <w:t>6.1 Clinical Studies Experience</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63" w:anchor="section-10.2" w:history="1">
        <w:r w:rsidRPr="00285196">
          <w:rPr>
            <w:rFonts w:ascii="inherit" w:eastAsia="Times New Roman" w:hAnsi="inherit" w:cs="Arial"/>
            <w:b/>
            <w:bCs/>
            <w:color w:val="1D86BB"/>
            <w:sz w:val="21"/>
            <w:szCs w:val="21"/>
            <w:u w:val="single"/>
            <w:bdr w:val="none" w:sz="0" w:space="0" w:color="auto" w:frame="1"/>
            <w:lang w:eastAsia="tr-TR"/>
          </w:rPr>
          <w:t>6.2 Post-</w:t>
        </w:r>
        <w:proofErr w:type="gramStart"/>
        <w:r w:rsidRPr="00285196">
          <w:rPr>
            <w:rFonts w:ascii="inherit" w:eastAsia="Times New Roman" w:hAnsi="inherit" w:cs="Arial"/>
            <w:b/>
            <w:bCs/>
            <w:color w:val="1D86BB"/>
            <w:sz w:val="21"/>
            <w:szCs w:val="21"/>
            <w:u w:val="single"/>
            <w:bdr w:val="none" w:sz="0" w:space="0" w:color="auto" w:frame="1"/>
            <w:lang w:eastAsia="tr-TR"/>
          </w:rPr>
          <w:t>marketing</w:t>
        </w:r>
        <w:proofErr w:type="gramEnd"/>
        <w:r w:rsidRPr="00285196">
          <w:rPr>
            <w:rFonts w:ascii="inherit" w:eastAsia="Times New Roman" w:hAnsi="inherit" w:cs="Arial"/>
            <w:b/>
            <w:bCs/>
            <w:color w:val="1D86BB"/>
            <w:sz w:val="21"/>
            <w:szCs w:val="21"/>
            <w:u w:val="single"/>
            <w:bdr w:val="none" w:sz="0" w:space="0" w:color="auto" w:frame="1"/>
            <w:lang w:eastAsia="tr-TR"/>
          </w:rPr>
          <w:t xml:space="preserve"> Experience</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64" w:anchor="section-11" w:history="1">
        <w:r w:rsidRPr="00285196">
          <w:rPr>
            <w:rFonts w:ascii="Arial" w:eastAsia="Times New Roman" w:hAnsi="Arial" w:cs="Arial"/>
            <w:caps/>
            <w:color w:val="1D86BB"/>
            <w:kern w:val="36"/>
            <w:sz w:val="21"/>
            <w:szCs w:val="21"/>
            <w:u w:val="single"/>
            <w:bdr w:val="none" w:sz="0" w:space="0" w:color="auto" w:frame="1"/>
            <w:lang w:eastAsia="tr-TR"/>
          </w:rPr>
          <w:t>7 DRUG INTERACTIONS</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65" w:anchor="section-12" w:history="1">
        <w:r w:rsidRPr="00285196">
          <w:rPr>
            <w:rFonts w:ascii="Arial" w:eastAsia="Times New Roman" w:hAnsi="Arial" w:cs="Arial"/>
            <w:caps/>
            <w:color w:val="1D86BB"/>
            <w:kern w:val="36"/>
            <w:sz w:val="21"/>
            <w:szCs w:val="21"/>
            <w:u w:val="single"/>
            <w:bdr w:val="none" w:sz="0" w:space="0" w:color="auto" w:frame="1"/>
            <w:lang w:eastAsia="tr-TR"/>
          </w:rPr>
          <w:t>8 USE IN SPECIFIC POPULATIONS</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66" w:anchor="section-12.1" w:history="1">
        <w:r w:rsidRPr="00285196">
          <w:rPr>
            <w:rFonts w:ascii="inherit" w:eastAsia="Times New Roman" w:hAnsi="inherit" w:cs="Arial"/>
            <w:b/>
            <w:bCs/>
            <w:color w:val="1D86BB"/>
            <w:sz w:val="21"/>
            <w:szCs w:val="21"/>
            <w:u w:val="single"/>
            <w:bdr w:val="none" w:sz="0" w:space="0" w:color="auto" w:frame="1"/>
            <w:lang w:eastAsia="tr-TR"/>
          </w:rPr>
          <w:t>8.1 Pregnancy</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67" w:anchor="section-12.2" w:history="1">
        <w:r w:rsidRPr="00285196">
          <w:rPr>
            <w:rFonts w:ascii="Arial" w:eastAsia="Times New Roman" w:hAnsi="Arial" w:cs="Arial"/>
            <w:color w:val="1D86BB"/>
            <w:sz w:val="21"/>
            <w:szCs w:val="21"/>
            <w:u w:val="single"/>
            <w:bdr w:val="none" w:sz="0" w:space="0" w:color="auto" w:frame="1"/>
            <w:lang w:eastAsia="tr-TR"/>
          </w:rPr>
          <w:t>8.3 Nursing Mothers</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68" w:anchor="section-12.3" w:history="1">
        <w:r w:rsidRPr="00285196">
          <w:rPr>
            <w:rFonts w:ascii="Arial" w:eastAsia="Times New Roman" w:hAnsi="Arial" w:cs="Arial"/>
            <w:color w:val="1D86BB"/>
            <w:sz w:val="21"/>
            <w:szCs w:val="21"/>
            <w:u w:val="single"/>
            <w:bdr w:val="none" w:sz="0" w:space="0" w:color="auto" w:frame="1"/>
            <w:lang w:eastAsia="tr-TR"/>
          </w:rPr>
          <w:t>8.4 Pediatric Use</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69" w:anchor="section-12.4" w:history="1">
        <w:r w:rsidRPr="00285196">
          <w:rPr>
            <w:rFonts w:ascii="Arial" w:eastAsia="Times New Roman" w:hAnsi="Arial" w:cs="Arial"/>
            <w:color w:val="1D86BB"/>
            <w:sz w:val="21"/>
            <w:szCs w:val="21"/>
            <w:u w:val="single"/>
            <w:bdr w:val="none" w:sz="0" w:space="0" w:color="auto" w:frame="1"/>
            <w:lang w:eastAsia="tr-TR"/>
          </w:rPr>
          <w:t>8.5 Geriatric Use</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70" w:anchor="section-12.5" w:history="1">
        <w:r w:rsidRPr="00285196">
          <w:rPr>
            <w:rFonts w:ascii="inherit" w:eastAsia="Times New Roman" w:hAnsi="inherit" w:cs="Arial"/>
            <w:b/>
            <w:bCs/>
            <w:color w:val="1D86BB"/>
            <w:sz w:val="21"/>
            <w:szCs w:val="21"/>
            <w:u w:val="single"/>
            <w:bdr w:val="none" w:sz="0" w:space="0" w:color="auto" w:frame="1"/>
            <w:lang w:eastAsia="tr-TR"/>
          </w:rPr>
          <w:t>8.6 Renal Impairment</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71" w:anchor="section-12.6" w:history="1">
        <w:r w:rsidRPr="00285196">
          <w:rPr>
            <w:rFonts w:ascii="inherit" w:eastAsia="Times New Roman" w:hAnsi="inherit" w:cs="Arial"/>
            <w:b/>
            <w:bCs/>
            <w:color w:val="1D86BB"/>
            <w:sz w:val="21"/>
            <w:szCs w:val="21"/>
            <w:u w:val="single"/>
            <w:bdr w:val="none" w:sz="0" w:space="0" w:color="auto" w:frame="1"/>
            <w:lang w:eastAsia="tr-TR"/>
          </w:rPr>
          <w:t>8.7 Hepatic Impairment</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72" w:anchor="section-13" w:history="1">
        <w:r w:rsidRPr="00285196">
          <w:rPr>
            <w:rFonts w:ascii="Arial" w:eastAsia="Times New Roman" w:hAnsi="Arial" w:cs="Arial"/>
            <w:caps/>
            <w:color w:val="1D86BB"/>
            <w:kern w:val="36"/>
            <w:sz w:val="21"/>
            <w:szCs w:val="21"/>
            <w:u w:val="single"/>
            <w:bdr w:val="none" w:sz="0" w:space="0" w:color="auto" w:frame="1"/>
            <w:lang w:eastAsia="tr-TR"/>
          </w:rPr>
          <w:t>10 OVERDOSAGE</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73" w:anchor="section-14" w:history="1">
        <w:r w:rsidRPr="00285196">
          <w:rPr>
            <w:rFonts w:ascii="Arial" w:eastAsia="Times New Roman" w:hAnsi="Arial" w:cs="Arial"/>
            <w:caps/>
            <w:color w:val="1D86BB"/>
            <w:kern w:val="36"/>
            <w:sz w:val="21"/>
            <w:szCs w:val="21"/>
            <w:u w:val="single"/>
            <w:bdr w:val="none" w:sz="0" w:space="0" w:color="auto" w:frame="1"/>
            <w:lang w:eastAsia="tr-TR"/>
          </w:rPr>
          <w:t>11 DESCRIPTION</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74" w:anchor="section-15" w:history="1">
        <w:r w:rsidRPr="00285196">
          <w:rPr>
            <w:rFonts w:ascii="Arial" w:eastAsia="Times New Roman" w:hAnsi="Arial" w:cs="Arial"/>
            <w:caps/>
            <w:color w:val="1D86BB"/>
            <w:kern w:val="36"/>
            <w:sz w:val="21"/>
            <w:szCs w:val="21"/>
            <w:u w:val="single"/>
            <w:bdr w:val="none" w:sz="0" w:space="0" w:color="auto" w:frame="1"/>
            <w:lang w:eastAsia="tr-TR"/>
          </w:rPr>
          <w:t>12 CLINICAL PHARMACOLOGY</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75" w:anchor="section-15.1" w:history="1">
        <w:r w:rsidRPr="00285196">
          <w:rPr>
            <w:rFonts w:ascii="inherit" w:eastAsia="Times New Roman" w:hAnsi="inherit" w:cs="Arial"/>
            <w:b/>
            <w:bCs/>
            <w:color w:val="1D86BB"/>
            <w:sz w:val="21"/>
            <w:szCs w:val="21"/>
            <w:u w:val="single"/>
            <w:bdr w:val="none" w:sz="0" w:space="0" w:color="auto" w:frame="1"/>
            <w:lang w:eastAsia="tr-TR"/>
          </w:rPr>
          <w:t>12.1 Mechanism of Action</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76" w:anchor="section-15.2" w:history="1">
        <w:r w:rsidRPr="00285196">
          <w:rPr>
            <w:rFonts w:ascii="Arial" w:eastAsia="Times New Roman" w:hAnsi="Arial" w:cs="Arial"/>
            <w:color w:val="1D86BB"/>
            <w:sz w:val="21"/>
            <w:szCs w:val="21"/>
            <w:u w:val="single"/>
            <w:bdr w:val="none" w:sz="0" w:space="0" w:color="auto" w:frame="1"/>
            <w:lang w:eastAsia="tr-TR"/>
          </w:rPr>
          <w:t>12.2 Pharmacodynamics</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77" w:anchor="section-15.3" w:history="1">
        <w:r w:rsidRPr="00285196">
          <w:rPr>
            <w:rFonts w:ascii="Arial" w:eastAsia="Times New Roman" w:hAnsi="Arial" w:cs="Arial"/>
            <w:color w:val="1D86BB"/>
            <w:sz w:val="21"/>
            <w:szCs w:val="21"/>
            <w:u w:val="single"/>
            <w:bdr w:val="none" w:sz="0" w:space="0" w:color="auto" w:frame="1"/>
            <w:lang w:eastAsia="tr-TR"/>
          </w:rPr>
          <w:t>12.3 Pharmacokinetics</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78" w:anchor="section-16" w:history="1">
        <w:r w:rsidRPr="00285196">
          <w:rPr>
            <w:rFonts w:ascii="Arial" w:eastAsia="Times New Roman" w:hAnsi="Arial" w:cs="Arial"/>
            <w:caps/>
            <w:color w:val="1D86BB"/>
            <w:kern w:val="36"/>
            <w:sz w:val="21"/>
            <w:szCs w:val="21"/>
            <w:u w:val="single"/>
            <w:bdr w:val="none" w:sz="0" w:space="0" w:color="auto" w:frame="1"/>
            <w:lang w:eastAsia="tr-TR"/>
          </w:rPr>
          <w:t>13 NONCLINICAL TOXICOLOGY</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79" w:anchor="section-16.1" w:history="1">
        <w:r w:rsidRPr="00285196">
          <w:rPr>
            <w:rFonts w:ascii="Arial" w:eastAsia="Times New Roman" w:hAnsi="Arial" w:cs="Arial"/>
            <w:color w:val="1D86BB"/>
            <w:sz w:val="21"/>
            <w:szCs w:val="21"/>
            <w:u w:val="single"/>
            <w:bdr w:val="none" w:sz="0" w:space="0" w:color="auto" w:frame="1"/>
            <w:lang w:eastAsia="tr-TR"/>
          </w:rPr>
          <w:t>13.1 Carcinogenesis, Mutagenesis, Impairment Of Fertility</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80" w:anchor="section-17" w:history="1">
        <w:r w:rsidRPr="00285196">
          <w:rPr>
            <w:rFonts w:ascii="Arial" w:eastAsia="Times New Roman" w:hAnsi="Arial" w:cs="Arial"/>
            <w:caps/>
            <w:color w:val="1D86BB"/>
            <w:kern w:val="36"/>
            <w:sz w:val="21"/>
            <w:szCs w:val="21"/>
            <w:u w:val="single"/>
            <w:bdr w:val="none" w:sz="0" w:space="0" w:color="auto" w:frame="1"/>
            <w:lang w:eastAsia="tr-TR"/>
          </w:rPr>
          <w:t>14 CLINICAL STUDIES</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81" w:anchor="section-17.1" w:history="1">
        <w:r w:rsidRPr="00285196">
          <w:rPr>
            <w:rFonts w:ascii="inherit" w:eastAsia="Times New Roman" w:hAnsi="inherit" w:cs="Arial"/>
            <w:b/>
            <w:bCs/>
            <w:color w:val="1D86BB"/>
            <w:sz w:val="21"/>
            <w:szCs w:val="21"/>
            <w:u w:val="single"/>
            <w:bdr w:val="none" w:sz="0" w:space="0" w:color="auto" w:frame="1"/>
            <w:lang w:eastAsia="tr-TR"/>
          </w:rPr>
          <w:t>14.1 Controlled Trial</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82" w:anchor="section-17.2" w:history="1">
        <w:r w:rsidRPr="00285196">
          <w:rPr>
            <w:rFonts w:ascii="inherit" w:eastAsia="Times New Roman" w:hAnsi="inherit" w:cs="Arial"/>
            <w:b/>
            <w:bCs/>
            <w:color w:val="1D86BB"/>
            <w:sz w:val="21"/>
            <w:szCs w:val="21"/>
            <w:u w:val="single"/>
            <w:bdr w:val="none" w:sz="0" w:space="0" w:color="auto" w:frame="1"/>
            <w:lang w:eastAsia="tr-TR"/>
          </w:rPr>
          <w:t>14.2 Single-arm Studies</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83" w:anchor="section-18" w:history="1">
        <w:r w:rsidRPr="00285196">
          <w:rPr>
            <w:rFonts w:ascii="Arial" w:eastAsia="Times New Roman" w:hAnsi="Arial" w:cs="Arial"/>
            <w:caps/>
            <w:color w:val="1D86BB"/>
            <w:kern w:val="36"/>
            <w:sz w:val="21"/>
            <w:szCs w:val="21"/>
            <w:u w:val="single"/>
            <w:bdr w:val="none" w:sz="0" w:space="0" w:color="auto" w:frame="1"/>
            <w:lang w:eastAsia="tr-TR"/>
          </w:rPr>
          <w:t>15 REFERENCES</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84" w:anchor="section-19" w:history="1">
        <w:r w:rsidRPr="00285196">
          <w:rPr>
            <w:rFonts w:ascii="Arial" w:eastAsia="Times New Roman" w:hAnsi="Arial" w:cs="Arial"/>
            <w:caps/>
            <w:color w:val="1D86BB"/>
            <w:kern w:val="36"/>
            <w:sz w:val="21"/>
            <w:szCs w:val="21"/>
            <w:u w:val="single"/>
            <w:bdr w:val="none" w:sz="0" w:space="0" w:color="auto" w:frame="1"/>
            <w:lang w:eastAsia="tr-TR"/>
          </w:rPr>
          <w:t>16 HOW SUPPLIED/STORAGE AND HANDLING</w:t>
        </w:r>
      </w:hyperlink>
    </w:p>
    <w:p w:rsidR="00285196" w:rsidRPr="00285196" w:rsidRDefault="00285196" w:rsidP="00285196">
      <w:pPr>
        <w:shd w:val="clear" w:color="auto" w:fill="EDF9FF"/>
        <w:spacing w:after="0" w:line="240" w:lineRule="auto"/>
        <w:ind w:left="600" w:right="150"/>
        <w:textAlignment w:val="baseline"/>
        <w:outlineLvl w:val="0"/>
        <w:rPr>
          <w:rFonts w:ascii="Arial" w:eastAsia="Times New Roman" w:hAnsi="Arial" w:cs="Arial"/>
          <w:caps/>
          <w:color w:val="000000"/>
          <w:kern w:val="36"/>
          <w:sz w:val="30"/>
          <w:szCs w:val="30"/>
          <w:lang w:eastAsia="tr-TR"/>
        </w:rPr>
      </w:pPr>
      <w:hyperlink r:id="rId85" w:anchor="section-20" w:history="1">
        <w:r w:rsidRPr="00285196">
          <w:rPr>
            <w:rFonts w:ascii="Arial" w:eastAsia="Times New Roman" w:hAnsi="Arial" w:cs="Arial"/>
            <w:caps/>
            <w:color w:val="1D86BB"/>
            <w:kern w:val="36"/>
            <w:sz w:val="21"/>
            <w:szCs w:val="21"/>
            <w:u w:val="single"/>
            <w:bdr w:val="none" w:sz="0" w:space="0" w:color="auto" w:frame="1"/>
            <w:lang w:eastAsia="tr-TR"/>
          </w:rPr>
          <w:t>17 PATIENT COUNSELING INFORMATION</w:t>
        </w:r>
      </w:hyperlink>
    </w:p>
    <w:p w:rsidR="00285196" w:rsidRPr="00285196" w:rsidRDefault="00285196" w:rsidP="00285196">
      <w:pPr>
        <w:shd w:val="clear" w:color="auto" w:fill="EDF9FF"/>
        <w:spacing w:after="0" w:line="240" w:lineRule="auto"/>
        <w:ind w:left="825" w:right="150"/>
        <w:textAlignment w:val="baseline"/>
        <w:outlineLvl w:val="1"/>
        <w:rPr>
          <w:rFonts w:ascii="Arial" w:eastAsia="Times New Roman" w:hAnsi="Arial" w:cs="Arial"/>
          <w:caps/>
          <w:color w:val="F89025"/>
          <w:sz w:val="39"/>
          <w:szCs w:val="39"/>
          <w:lang w:eastAsia="tr-TR"/>
        </w:rPr>
      </w:pPr>
      <w:hyperlink r:id="rId86" w:anchor="section-20.1" w:history="1">
        <w:r w:rsidRPr="00285196">
          <w:rPr>
            <w:rFonts w:ascii="inherit" w:eastAsia="Times New Roman" w:hAnsi="inherit" w:cs="Arial"/>
            <w:b/>
            <w:bCs/>
            <w:color w:val="1D86BB"/>
            <w:sz w:val="21"/>
            <w:szCs w:val="21"/>
            <w:u w:val="single"/>
            <w:bdr w:val="none" w:sz="0" w:space="0" w:color="auto" w:frame="1"/>
            <w:lang w:eastAsia="tr-TR"/>
          </w:rPr>
          <w:t>17.1 Instructions for Patients</w:t>
        </w:r>
      </w:hyperlink>
    </w:p>
    <w:bookmarkStart w:id="0" w:name="footnote-content"/>
    <w:p w:rsidR="00285196" w:rsidRPr="00285196" w:rsidRDefault="00285196" w:rsidP="00285196">
      <w:pPr>
        <w:shd w:val="clear" w:color="auto" w:fill="EDF9FF"/>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fldChar w:fldCharType="begin"/>
      </w:r>
      <w:r w:rsidRPr="00285196">
        <w:rPr>
          <w:rFonts w:ascii="inherit" w:eastAsia="Times New Roman" w:hAnsi="inherit" w:cs="Arial"/>
          <w:color w:val="222222"/>
          <w:sz w:val="21"/>
          <w:szCs w:val="21"/>
          <w:lang w:eastAsia="tr-TR"/>
        </w:rPr>
        <w:instrText xml:space="preserve"> HYPERLINK "https://dailymed.nlm.nih.gov/dailymed/drugInfo.cfm?setid=358764ca-4c69-d516-af0c-bf8a348d26ca" \l "footnote-reference-content" </w:instrText>
      </w:r>
      <w:r w:rsidRPr="00285196">
        <w:rPr>
          <w:rFonts w:ascii="inherit" w:eastAsia="Times New Roman" w:hAnsi="inherit" w:cs="Arial"/>
          <w:color w:val="222222"/>
          <w:sz w:val="21"/>
          <w:szCs w:val="21"/>
          <w:lang w:eastAsia="tr-TR"/>
        </w:rPr>
        <w:fldChar w:fldCharType="separate"/>
      </w:r>
      <w:r w:rsidRPr="00285196">
        <w:rPr>
          <w:rFonts w:ascii="inherit" w:eastAsia="Times New Roman" w:hAnsi="inherit" w:cs="Arial"/>
          <w:caps/>
          <w:color w:val="000000"/>
          <w:sz w:val="30"/>
          <w:szCs w:val="30"/>
          <w:u w:val="single"/>
          <w:bdr w:val="none" w:sz="0" w:space="0" w:color="auto" w:frame="1"/>
          <w:lang w:eastAsia="tr-TR"/>
        </w:rPr>
        <w:t>*</w:t>
      </w:r>
      <w:r w:rsidRPr="00285196">
        <w:rPr>
          <w:rFonts w:ascii="inherit" w:eastAsia="Times New Roman" w:hAnsi="inherit" w:cs="Arial"/>
          <w:color w:val="222222"/>
          <w:sz w:val="21"/>
          <w:szCs w:val="21"/>
          <w:lang w:eastAsia="tr-TR"/>
        </w:rPr>
        <w:fldChar w:fldCharType="end"/>
      </w:r>
      <w:bookmarkEnd w:id="0"/>
    </w:p>
    <w:p w:rsidR="00285196" w:rsidRPr="00285196" w:rsidRDefault="00285196" w:rsidP="00285196">
      <w:pPr>
        <w:shd w:val="clear" w:color="auto" w:fill="EDF9FF"/>
        <w:spacing w:after="0" w:line="240" w:lineRule="auto"/>
        <w:ind w:left="132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Sections or subsections omitted from the full prescribing information are not listed.</w:t>
      </w:r>
    </w:p>
    <w:p w:rsidR="00285196" w:rsidRPr="00285196" w:rsidRDefault="00285196" w:rsidP="00285196">
      <w:pPr>
        <w:shd w:val="clear" w:color="auto" w:fill="EDF9FF"/>
        <w:spacing w:after="75" w:line="240" w:lineRule="auto"/>
        <w:ind w:left="600" w:right="150"/>
        <w:textAlignment w:val="baseline"/>
        <w:rPr>
          <w:rFonts w:ascii="inherit" w:eastAsia="Times New Roman" w:hAnsi="inherit" w:cs="Arial"/>
          <w:color w:val="222222"/>
          <w:sz w:val="21"/>
          <w:szCs w:val="21"/>
          <w:lang w:eastAsia="tr-TR"/>
        </w:rPr>
      </w:pPr>
      <w:hyperlink r:id="rId87"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88" w:history="1">
        <w:r w:rsidRPr="00285196">
          <w:rPr>
            <w:rFonts w:ascii="Arial" w:eastAsia="Times New Roman" w:hAnsi="Arial" w:cs="Arial"/>
            <w:caps/>
            <w:color w:val="000000"/>
            <w:sz w:val="30"/>
            <w:szCs w:val="30"/>
            <w:u w:val="single"/>
            <w:bdr w:val="none" w:sz="0" w:space="0" w:color="auto" w:frame="1"/>
            <w:lang w:eastAsia="tr-TR"/>
          </w:rPr>
          <w:t>1 INDICATIONS AND USAGE</w:t>
        </w:r>
      </w:hyperlink>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bookmarkStart w:id="1" w:name="INDICATIONS_AND_USAGE"/>
      <w:bookmarkStart w:id="2" w:name="section-1"/>
      <w:bookmarkEnd w:id="1"/>
      <w:bookmarkEnd w:id="2"/>
      <w:proofErr w:type="gramStart"/>
      <w:r w:rsidRPr="00285196">
        <w:rPr>
          <w:rFonts w:ascii="inherit" w:eastAsia="Times New Roman" w:hAnsi="inherit" w:cs="Arial"/>
          <w:color w:val="222222"/>
          <w:sz w:val="21"/>
          <w:szCs w:val="21"/>
          <w:lang w:eastAsia="tr-TR"/>
        </w:rPr>
        <w:t>Decitabine for injection is indicated for treatment of patients with myelodysplastic syndromes (MDS) including previously treated and untreated, de novo and secondary MDS of all French-American-British subtypes (refractory anemia, refractory anemia with ringed sideroblasts, refractory anemia with excess blasts, refractory anemia with excess blasts in transformation, and chronic myelomonocytic leukemia) and intermediate-1, intermediate-2, and high-risk International Prognostic Scoring System groups.</w:t>
      </w:r>
      <w:proofErr w:type="gramEnd"/>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89"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90" w:history="1">
        <w:r w:rsidRPr="00285196">
          <w:rPr>
            <w:rFonts w:ascii="Arial" w:eastAsia="Times New Roman" w:hAnsi="Arial" w:cs="Arial"/>
            <w:caps/>
            <w:color w:val="000000"/>
            <w:sz w:val="30"/>
            <w:szCs w:val="30"/>
            <w:u w:val="single"/>
            <w:bdr w:val="none" w:sz="0" w:space="0" w:color="auto" w:frame="1"/>
            <w:lang w:eastAsia="tr-TR"/>
          </w:rPr>
          <w:t>2 DOSAGE AND ADMINISTRATION</w:t>
        </w:r>
      </w:hyperlink>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bookmarkStart w:id="3" w:name="DOSAGE_AND_ADMINISTRATION"/>
      <w:bookmarkStart w:id="4" w:name="section-2"/>
      <w:bookmarkEnd w:id="3"/>
      <w:bookmarkEnd w:id="4"/>
      <w:r w:rsidRPr="00285196">
        <w:rPr>
          <w:rFonts w:ascii="inherit" w:eastAsia="Times New Roman" w:hAnsi="inherit" w:cs="Arial"/>
          <w:color w:val="222222"/>
          <w:sz w:val="21"/>
          <w:szCs w:val="21"/>
          <w:lang w:eastAsia="tr-TR"/>
        </w:rPr>
        <w:t>There are two regimens for decitabine for injection administration. With either regimen it is recommended that patients be treated for a minimum of 4 cycles; however, a complete or partial response may take longer than 4 cycles. Complete blood counts and platelet counts should be performed as needed to monitor response and toxicity, but at a minimum, prior to each cycle. Liver chemistries and serum creatinine should be obtained prior to initiation of treatment.</w:t>
      </w:r>
    </w:p>
    <w:p w:rsidR="00285196" w:rsidRPr="00285196" w:rsidRDefault="00285196" w:rsidP="00285196">
      <w:pPr>
        <w:spacing w:after="0" w:line="270" w:lineRule="atLeast"/>
        <w:ind w:left="600" w:right="150"/>
        <w:textAlignment w:val="baseline"/>
        <w:outlineLvl w:val="1"/>
        <w:rPr>
          <w:rFonts w:ascii="inherit" w:eastAsia="Times New Roman" w:hAnsi="inherit" w:cs="Arial"/>
          <w:b/>
          <w:bCs/>
          <w:color w:val="222222"/>
          <w:sz w:val="36"/>
          <w:szCs w:val="36"/>
          <w:lang w:eastAsia="tr-TR"/>
        </w:rPr>
      </w:pPr>
      <w:bookmarkStart w:id="5" w:name="_ff18cd42-dfe2-9bb6-86b7-f7fcbe7e1436"/>
      <w:bookmarkStart w:id="6" w:name="section-2.1"/>
      <w:bookmarkEnd w:id="5"/>
      <w:bookmarkEnd w:id="6"/>
      <w:r w:rsidRPr="00285196">
        <w:rPr>
          <w:rFonts w:ascii="inherit" w:eastAsia="Times New Roman" w:hAnsi="inherit" w:cs="Arial"/>
          <w:b/>
          <w:bCs/>
          <w:color w:val="222222"/>
          <w:sz w:val="36"/>
          <w:szCs w:val="36"/>
          <w:bdr w:val="none" w:sz="0" w:space="0" w:color="auto" w:frame="1"/>
          <w:lang w:eastAsia="tr-TR"/>
        </w:rPr>
        <w:t>2.1 Treatment Regimen – Option 1</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Decitabine for injection is administered at a dose of 15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by continuous intravenous infusion over 3 hours repeated every 8 hours for 3 days. This cycle should be repeated every 6 weeks. Patients may be premedicated with standard anti-emetic therapy.  </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If hematologic recovery (ANC ≥ 1,000/μL and platelets ≥ 50,000/μL) from a previous decitabine for injection treatment cycle requires more than 6 weeks, then the next cycle of decitabine for injection therapy should be delayed and dosing temporarily reduced by following this algorithm:</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Recovery requiring more than 6, but less than 8 weeks − Decitabine for injection dosing to be delayed for up to 2 weeks and the dose temporarily reduced to 11 mg/m</w:t>
      </w:r>
      <w:r w:rsidRPr="00285196">
        <w:rPr>
          <w:rFonts w:ascii="inherit" w:eastAsia="Times New Roman" w:hAnsi="inherit" w:cs="Arial"/>
          <w:color w:val="222222"/>
          <w:sz w:val="21"/>
          <w:szCs w:val="21"/>
          <w:bdr w:val="none" w:sz="0" w:space="0" w:color="auto" w:frame="1"/>
          <w:lang w:eastAsia="tr-TR"/>
        </w:rPr>
        <w:t>2</w:t>
      </w:r>
      <w:r w:rsidRPr="00285196">
        <w:rPr>
          <w:rFonts w:ascii="inherit" w:eastAsia="Times New Roman" w:hAnsi="inherit" w:cs="Arial"/>
          <w:color w:val="222222"/>
          <w:sz w:val="21"/>
          <w:szCs w:val="21"/>
          <w:lang w:eastAsia="tr-TR"/>
        </w:rPr>
        <w:t>every 8 hours (33 mg/m</w:t>
      </w:r>
      <w:r w:rsidRPr="00285196">
        <w:rPr>
          <w:rFonts w:ascii="inherit" w:eastAsia="Times New Roman" w:hAnsi="inherit" w:cs="Arial"/>
          <w:color w:val="222222"/>
          <w:sz w:val="21"/>
          <w:szCs w:val="21"/>
          <w:bdr w:val="none" w:sz="0" w:space="0" w:color="auto" w:frame="1"/>
          <w:lang w:eastAsia="tr-TR"/>
        </w:rPr>
        <w:t>2</w:t>
      </w:r>
      <w:r w:rsidRPr="00285196">
        <w:rPr>
          <w:rFonts w:ascii="inherit" w:eastAsia="Times New Roman" w:hAnsi="inherit" w:cs="Arial"/>
          <w:color w:val="222222"/>
          <w:sz w:val="21"/>
          <w:szCs w:val="21"/>
          <w:lang w:eastAsia="tr-TR"/>
        </w:rPr>
        <w:t>/day, 99 mg/m</w:t>
      </w:r>
      <w:r w:rsidRPr="00285196">
        <w:rPr>
          <w:rFonts w:ascii="inherit" w:eastAsia="Times New Roman" w:hAnsi="inherit" w:cs="Arial"/>
          <w:color w:val="222222"/>
          <w:sz w:val="21"/>
          <w:szCs w:val="21"/>
          <w:bdr w:val="none" w:sz="0" w:space="0" w:color="auto" w:frame="1"/>
          <w:lang w:eastAsia="tr-TR"/>
        </w:rPr>
        <w:t>2</w:t>
      </w:r>
      <w:r w:rsidRPr="00285196">
        <w:rPr>
          <w:rFonts w:ascii="inherit" w:eastAsia="Times New Roman" w:hAnsi="inherit" w:cs="Arial"/>
          <w:color w:val="222222"/>
          <w:sz w:val="21"/>
          <w:szCs w:val="21"/>
          <w:lang w:eastAsia="tr-TR"/>
        </w:rPr>
        <w:t>/cycle) upon restarting therapy.</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proofErr w:type="gramStart"/>
      <w:r w:rsidRPr="00285196">
        <w:rPr>
          <w:rFonts w:ascii="inherit" w:eastAsia="Times New Roman" w:hAnsi="inherit" w:cs="Arial"/>
          <w:color w:val="222222"/>
          <w:sz w:val="21"/>
          <w:szCs w:val="21"/>
          <w:lang w:eastAsia="tr-TR"/>
        </w:rPr>
        <w:t>Recovery requiring more than 8, but less than 10 weeks − Patient should be assessed for disease progression (by bone marrow aspirates); in the absence of progression, the decitabine for injection dose should be delayed up to 2 more weeks and the dose reduced to 11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every 8 hours (33 mg/m</w:t>
      </w:r>
      <w:r w:rsidRPr="00285196">
        <w:rPr>
          <w:rFonts w:ascii="inherit" w:eastAsia="Times New Roman" w:hAnsi="inherit" w:cs="Arial"/>
          <w:color w:val="222222"/>
          <w:sz w:val="21"/>
          <w:szCs w:val="21"/>
          <w:bdr w:val="none" w:sz="0" w:space="0" w:color="auto" w:frame="1"/>
          <w:lang w:eastAsia="tr-TR"/>
        </w:rPr>
        <w:t>2</w:t>
      </w:r>
      <w:r w:rsidRPr="00285196">
        <w:rPr>
          <w:rFonts w:ascii="inherit" w:eastAsia="Times New Roman" w:hAnsi="inherit" w:cs="Arial"/>
          <w:color w:val="222222"/>
          <w:sz w:val="21"/>
          <w:szCs w:val="21"/>
          <w:lang w:eastAsia="tr-TR"/>
        </w:rPr>
        <w:t>/day, 99 mg/m</w:t>
      </w:r>
      <w:r w:rsidRPr="00285196">
        <w:rPr>
          <w:rFonts w:ascii="inherit" w:eastAsia="Times New Roman" w:hAnsi="inherit" w:cs="Arial"/>
          <w:color w:val="222222"/>
          <w:sz w:val="21"/>
          <w:szCs w:val="21"/>
          <w:bdr w:val="none" w:sz="0" w:space="0" w:color="auto" w:frame="1"/>
          <w:lang w:eastAsia="tr-TR"/>
        </w:rPr>
        <w:t>2</w:t>
      </w:r>
      <w:r w:rsidRPr="00285196">
        <w:rPr>
          <w:rFonts w:ascii="inherit" w:eastAsia="Times New Roman" w:hAnsi="inherit" w:cs="Arial"/>
          <w:color w:val="222222"/>
          <w:sz w:val="21"/>
          <w:szCs w:val="21"/>
          <w:lang w:eastAsia="tr-TR"/>
        </w:rPr>
        <w:t>/cycle) upon restarting therapy, then maintained or increased in subsequent cycles as clinically indicated.  </w:t>
      </w:r>
      <w:proofErr w:type="gramEnd"/>
    </w:p>
    <w:p w:rsidR="00285196" w:rsidRPr="00285196" w:rsidRDefault="00285196" w:rsidP="00285196">
      <w:pPr>
        <w:spacing w:after="0" w:line="270" w:lineRule="atLeast"/>
        <w:ind w:left="600" w:right="150"/>
        <w:textAlignment w:val="baseline"/>
        <w:outlineLvl w:val="1"/>
        <w:rPr>
          <w:rFonts w:ascii="inherit" w:eastAsia="Times New Roman" w:hAnsi="inherit" w:cs="Arial"/>
          <w:b/>
          <w:bCs/>
          <w:color w:val="222222"/>
          <w:sz w:val="36"/>
          <w:szCs w:val="36"/>
          <w:lang w:eastAsia="tr-TR"/>
        </w:rPr>
      </w:pPr>
      <w:bookmarkStart w:id="7" w:name="_e6fefd21-9ebb-7d41-3d91-723f27457aa4"/>
      <w:bookmarkStart w:id="8" w:name="section-2.2"/>
      <w:bookmarkEnd w:id="7"/>
      <w:bookmarkEnd w:id="8"/>
      <w:r w:rsidRPr="00285196">
        <w:rPr>
          <w:rFonts w:ascii="inherit" w:eastAsia="Times New Roman" w:hAnsi="inherit" w:cs="Arial"/>
          <w:b/>
          <w:bCs/>
          <w:color w:val="222222"/>
          <w:sz w:val="36"/>
          <w:szCs w:val="36"/>
          <w:bdr w:val="none" w:sz="0" w:space="0" w:color="auto" w:frame="1"/>
          <w:lang w:eastAsia="tr-TR"/>
        </w:rPr>
        <w:t>2.2 Treatment Regimen – Option 2</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Decitabine for injection is administered at a dose of 20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by continuous intravenous infusion over 1 hour repeated daily for 5 days. This cycle should be repeated every 4 weeks. Patients may be premedicated with standard anti-emetic therapy.</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If myelosuppression is present, subsequent treatment cycles of decitabine for injection should be delayed until there is hematologic recovery (ANC ≥ 1,000/μL platelets ≥ 50,000/μL).</w:t>
      </w:r>
    </w:p>
    <w:p w:rsidR="00285196" w:rsidRPr="00285196" w:rsidRDefault="00285196" w:rsidP="00285196">
      <w:pPr>
        <w:spacing w:after="0" w:line="270" w:lineRule="atLeast"/>
        <w:ind w:left="600" w:right="150"/>
        <w:textAlignment w:val="baseline"/>
        <w:outlineLvl w:val="1"/>
        <w:rPr>
          <w:rFonts w:ascii="inherit" w:eastAsia="Times New Roman" w:hAnsi="inherit" w:cs="Arial"/>
          <w:b/>
          <w:bCs/>
          <w:color w:val="222222"/>
          <w:sz w:val="36"/>
          <w:szCs w:val="36"/>
          <w:lang w:eastAsia="tr-TR"/>
        </w:rPr>
      </w:pPr>
      <w:bookmarkStart w:id="9" w:name="_7636affb-23a8-c07c-11c7-41cb63c491b5"/>
      <w:bookmarkStart w:id="10" w:name="section-2.3"/>
      <w:bookmarkEnd w:id="9"/>
      <w:bookmarkEnd w:id="10"/>
      <w:r w:rsidRPr="00285196">
        <w:rPr>
          <w:rFonts w:ascii="inherit" w:eastAsia="Times New Roman" w:hAnsi="inherit" w:cs="Arial"/>
          <w:b/>
          <w:bCs/>
          <w:color w:val="222222"/>
          <w:sz w:val="36"/>
          <w:szCs w:val="36"/>
          <w:bdr w:val="none" w:sz="0" w:space="0" w:color="auto" w:frame="1"/>
          <w:lang w:eastAsia="tr-TR"/>
        </w:rPr>
        <w:t>2.3 Patients with Non-hematologic Toxicity</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Following the first cycle of decitabine for injection treatment, if any of the following non-hematologic toxicities are present, decitabine for injection treatment should not be restarted until the toxicity is resolved: 1</w:t>
      </w:r>
      <w:proofErr w:type="gramStart"/>
      <w:r w:rsidRPr="00285196">
        <w:rPr>
          <w:rFonts w:ascii="inherit" w:eastAsia="Times New Roman" w:hAnsi="inherit" w:cs="Arial"/>
          <w:color w:val="222222"/>
          <w:sz w:val="21"/>
          <w:szCs w:val="21"/>
          <w:lang w:eastAsia="tr-TR"/>
        </w:rPr>
        <w:t>)</w:t>
      </w:r>
      <w:proofErr w:type="gramEnd"/>
      <w:r w:rsidRPr="00285196">
        <w:rPr>
          <w:rFonts w:ascii="inherit" w:eastAsia="Times New Roman" w:hAnsi="inherit" w:cs="Arial"/>
          <w:color w:val="222222"/>
          <w:sz w:val="21"/>
          <w:szCs w:val="21"/>
          <w:lang w:eastAsia="tr-TR"/>
        </w:rPr>
        <w:t xml:space="preserve"> serum creatinine ≥ 2 mg/dL; 2) SGPT, total bilirubin ≥ 2 times ULN; 3) and active or uncontrolled infection.</w:t>
      </w:r>
    </w:p>
    <w:p w:rsidR="00285196" w:rsidRPr="00285196" w:rsidRDefault="00285196" w:rsidP="00285196">
      <w:pPr>
        <w:spacing w:after="0" w:line="270" w:lineRule="atLeast"/>
        <w:ind w:left="600" w:right="150"/>
        <w:textAlignment w:val="baseline"/>
        <w:outlineLvl w:val="1"/>
        <w:rPr>
          <w:rFonts w:ascii="inherit" w:eastAsia="Times New Roman" w:hAnsi="inherit" w:cs="Arial"/>
          <w:b/>
          <w:bCs/>
          <w:color w:val="222222"/>
          <w:sz w:val="36"/>
          <w:szCs w:val="36"/>
          <w:lang w:eastAsia="tr-TR"/>
        </w:rPr>
      </w:pPr>
      <w:bookmarkStart w:id="11" w:name="_88d9ec62-457f-ec97-af39-8240e03a4353"/>
      <w:bookmarkStart w:id="12" w:name="section-2.4"/>
      <w:bookmarkEnd w:id="11"/>
      <w:bookmarkEnd w:id="12"/>
      <w:r w:rsidRPr="00285196">
        <w:rPr>
          <w:rFonts w:ascii="inherit" w:eastAsia="Times New Roman" w:hAnsi="inherit" w:cs="Arial"/>
          <w:b/>
          <w:bCs/>
          <w:color w:val="222222"/>
          <w:sz w:val="36"/>
          <w:szCs w:val="36"/>
          <w:bdr w:val="none" w:sz="0" w:space="0" w:color="auto" w:frame="1"/>
          <w:lang w:eastAsia="tr-TR"/>
        </w:rPr>
        <w:t>2.4 Instructions for Intravenous Administration</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Decitabine for injection is a cytotoxic drug and caution should be exercised when handling and preparing decitabine for injection. Procedures for proper handling and disposal of antineoplastic drugs should be applied. Several guidances on this subject have been published.</w:t>
      </w:r>
      <w:r w:rsidRPr="00285196">
        <w:rPr>
          <w:rFonts w:ascii="inherit" w:eastAsia="Times New Roman" w:hAnsi="inherit" w:cs="Arial"/>
          <w:color w:val="222222"/>
          <w:sz w:val="21"/>
          <w:szCs w:val="21"/>
          <w:bdr w:val="none" w:sz="0" w:space="0" w:color="auto" w:frame="1"/>
          <w:lang w:eastAsia="tr-TR"/>
        </w:rPr>
        <w:t>1-</w:t>
      </w:r>
      <w:proofErr w:type="gramStart"/>
      <w:r w:rsidRPr="00285196">
        <w:rPr>
          <w:rFonts w:ascii="inherit" w:eastAsia="Times New Roman" w:hAnsi="inherit" w:cs="Arial"/>
          <w:color w:val="222222"/>
          <w:sz w:val="21"/>
          <w:szCs w:val="21"/>
          <w:bdr w:val="none" w:sz="0" w:space="0" w:color="auto" w:frame="1"/>
          <w:lang w:eastAsia="tr-TR"/>
        </w:rPr>
        <w:t>4 </w:t>
      </w:r>
      <w:r w:rsidRPr="00285196">
        <w:rPr>
          <w:rFonts w:ascii="inherit" w:eastAsia="Times New Roman" w:hAnsi="inherit" w:cs="Arial"/>
          <w:color w:val="222222"/>
          <w:sz w:val="21"/>
          <w:szCs w:val="21"/>
          <w:lang w:eastAsia="tr-TR"/>
        </w:rPr>
        <w:t>.</w:t>
      </w:r>
      <w:proofErr w:type="gramEnd"/>
      <w:r w:rsidRPr="00285196">
        <w:rPr>
          <w:rFonts w:ascii="inherit" w:eastAsia="Times New Roman" w:hAnsi="inherit" w:cs="Arial"/>
          <w:color w:val="222222"/>
          <w:sz w:val="21"/>
          <w:szCs w:val="21"/>
          <w:lang w:eastAsia="tr-TR"/>
        </w:rPr>
        <w:t xml:space="preserve">  </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 xml:space="preserve">Decitabine for injection should be aseptically reconstituted with 10 mL of Sterile Water for Injection (USP); upon reconstitution, each mL contains approximately 5 mg of decitabine at pH </w:t>
      </w:r>
      <w:proofErr w:type="gramStart"/>
      <w:r w:rsidRPr="00285196">
        <w:rPr>
          <w:rFonts w:ascii="inherit" w:eastAsia="Times New Roman" w:hAnsi="inherit" w:cs="Arial"/>
          <w:color w:val="222222"/>
          <w:sz w:val="21"/>
          <w:szCs w:val="21"/>
          <w:lang w:eastAsia="tr-TR"/>
        </w:rPr>
        <w:t>6.7</w:t>
      </w:r>
      <w:proofErr w:type="gramEnd"/>
      <w:r w:rsidRPr="00285196">
        <w:rPr>
          <w:rFonts w:ascii="inherit" w:eastAsia="Times New Roman" w:hAnsi="inherit" w:cs="Arial"/>
          <w:color w:val="222222"/>
          <w:sz w:val="21"/>
          <w:szCs w:val="21"/>
          <w:lang w:eastAsia="tr-TR"/>
        </w:rPr>
        <w:t xml:space="preserve"> to 7.3. Immediately after reconstitution, the solution should be further diluted with 0.9% Sodium Chloride Injection, 5% Dextrose Injection, or Lactated Ringer’s Injection to a final drug concentration of 0.1 to 1 mg/mL. Unless used within 15 minutes of reconstitution, the diluted solution must be prepared using cold (2˚C - 8˚C) infusion fluids and stored at 2˚C - 8˚C (36˚F - 46˚F) for up to a maximum of 7 hours until administration.  </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Parenteral drug products should be inspected visually for particulate matter and discoloration prior to administration, whenever solution and container permit. Do not use if there is evidence of particulate matter or discoloration.</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91"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92" w:history="1">
        <w:r w:rsidRPr="00285196">
          <w:rPr>
            <w:rFonts w:ascii="Arial" w:eastAsia="Times New Roman" w:hAnsi="Arial" w:cs="Arial"/>
            <w:caps/>
            <w:color w:val="000000"/>
            <w:sz w:val="30"/>
            <w:szCs w:val="30"/>
            <w:u w:val="single"/>
            <w:bdr w:val="none" w:sz="0" w:space="0" w:color="auto" w:frame="1"/>
            <w:lang w:eastAsia="tr-TR"/>
          </w:rPr>
          <w:t>3 DOSAGE FORMS AND STRENGTHS</w:t>
        </w:r>
      </w:hyperlink>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bookmarkStart w:id="13" w:name="DOSAGE_FORMS_AND_STRENGTHS"/>
      <w:bookmarkStart w:id="14" w:name="section-3"/>
      <w:bookmarkEnd w:id="13"/>
      <w:bookmarkEnd w:id="14"/>
      <w:r w:rsidRPr="00285196">
        <w:rPr>
          <w:rFonts w:ascii="inherit" w:eastAsia="Times New Roman" w:hAnsi="inherit" w:cs="Arial"/>
          <w:color w:val="222222"/>
          <w:sz w:val="21"/>
          <w:szCs w:val="21"/>
          <w:lang w:eastAsia="tr-TR"/>
        </w:rPr>
        <w:t xml:space="preserve">Decitabine for injection is supplied as a </w:t>
      </w:r>
      <w:proofErr w:type="gramStart"/>
      <w:r w:rsidRPr="00285196">
        <w:rPr>
          <w:rFonts w:ascii="inherit" w:eastAsia="Times New Roman" w:hAnsi="inherit" w:cs="Arial"/>
          <w:color w:val="222222"/>
          <w:sz w:val="21"/>
          <w:szCs w:val="21"/>
          <w:lang w:eastAsia="tr-TR"/>
        </w:rPr>
        <w:t>sterile</w:t>
      </w:r>
      <w:proofErr w:type="gramEnd"/>
      <w:r w:rsidRPr="00285196">
        <w:rPr>
          <w:rFonts w:ascii="inherit" w:eastAsia="Times New Roman" w:hAnsi="inherit" w:cs="Arial"/>
          <w:color w:val="222222"/>
          <w:sz w:val="21"/>
          <w:szCs w:val="21"/>
          <w:lang w:eastAsia="tr-TR"/>
        </w:rPr>
        <w:t>, lyophilized white to almost white powder, in a single-dose vial, packaged in cartons of 1 vial. Each vial contains 50 mg of decitabine.</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93"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94" w:history="1">
        <w:r w:rsidRPr="00285196">
          <w:rPr>
            <w:rFonts w:ascii="Arial" w:eastAsia="Times New Roman" w:hAnsi="Arial" w:cs="Arial"/>
            <w:caps/>
            <w:color w:val="000000"/>
            <w:sz w:val="30"/>
            <w:szCs w:val="30"/>
            <w:u w:val="single"/>
            <w:bdr w:val="none" w:sz="0" w:space="0" w:color="auto" w:frame="1"/>
            <w:lang w:eastAsia="tr-TR"/>
          </w:rPr>
          <w:t>4 CONTRAINDICATIONS</w:t>
        </w:r>
      </w:hyperlink>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bookmarkStart w:id="15" w:name="CONTRAINDICATIONS"/>
      <w:bookmarkStart w:id="16" w:name="section-4"/>
      <w:bookmarkEnd w:id="15"/>
      <w:bookmarkEnd w:id="16"/>
      <w:r w:rsidRPr="00285196">
        <w:rPr>
          <w:rFonts w:ascii="inherit" w:eastAsia="Times New Roman" w:hAnsi="inherit" w:cs="Arial"/>
          <w:color w:val="222222"/>
          <w:sz w:val="21"/>
          <w:szCs w:val="21"/>
          <w:lang w:eastAsia="tr-TR"/>
        </w:rPr>
        <w:t>None</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95"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96" w:history="1">
        <w:r w:rsidRPr="00285196">
          <w:rPr>
            <w:rFonts w:ascii="Arial" w:eastAsia="Times New Roman" w:hAnsi="Arial" w:cs="Arial"/>
            <w:caps/>
            <w:color w:val="000000"/>
            <w:sz w:val="30"/>
            <w:szCs w:val="30"/>
            <w:u w:val="single"/>
            <w:bdr w:val="none" w:sz="0" w:space="0" w:color="auto" w:frame="1"/>
            <w:lang w:eastAsia="tr-TR"/>
          </w:rPr>
          <w:t>5 WARNINGS AND PRECAUTIONS</w:t>
        </w:r>
      </w:hyperlink>
    </w:p>
    <w:bookmarkStart w:id="17" w:name="WARNINGS_AND_PRECAUTIONS"/>
    <w:bookmarkStart w:id="18" w:name="section-5"/>
    <w:bookmarkEnd w:id="17"/>
    <w:bookmarkEnd w:id="18"/>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bdr w:val="none" w:sz="0" w:space="0" w:color="auto" w:frame="1"/>
          <w:lang w:eastAsia="tr-TR"/>
        </w:rPr>
        <w:fldChar w:fldCharType="begin"/>
      </w:r>
      <w:r w:rsidRPr="00285196">
        <w:rPr>
          <w:rFonts w:ascii="inherit" w:eastAsia="Times New Roman" w:hAnsi="inherit" w:cs="Arial"/>
          <w:color w:val="222222"/>
          <w:sz w:val="21"/>
          <w:szCs w:val="21"/>
          <w:bdr w:val="none" w:sz="0" w:space="0" w:color="auto" w:frame="1"/>
          <w:lang w:eastAsia="tr-TR"/>
        </w:rPr>
        <w:instrText xml:space="preserve"> HYPERLINK "https://dailymed.nlm.nih.gov/dailymed/drugInfo.cfm?setid=358764ca-4c69-d516-af0c-bf8a348d26ca" </w:instrText>
      </w:r>
      <w:r w:rsidRPr="00285196">
        <w:rPr>
          <w:rFonts w:ascii="inherit" w:eastAsia="Times New Roman" w:hAnsi="inherit" w:cs="Arial"/>
          <w:color w:val="222222"/>
          <w:sz w:val="21"/>
          <w:szCs w:val="21"/>
          <w:bdr w:val="none" w:sz="0" w:space="0" w:color="auto" w:frame="1"/>
          <w:lang w:eastAsia="tr-TR"/>
        </w:rPr>
        <w:fldChar w:fldCharType="separate"/>
      </w:r>
      <w:r w:rsidRPr="00285196">
        <w:rPr>
          <w:rFonts w:ascii="Arial" w:eastAsia="Times New Roman" w:hAnsi="Arial" w:cs="Arial"/>
          <w:caps/>
          <w:color w:val="1D86BB"/>
          <w:sz w:val="18"/>
          <w:szCs w:val="18"/>
          <w:u w:val="single"/>
          <w:bdr w:val="none" w:sz="0" w:space="0" w:color="auto" w:frame="1"/>
          <w:lang w:eastAsia="tr-TR"/>
        </w:rPr>
        <w:t>CLOSE</w:t>
      </w:r>
      <w:r w:rsidRPr="00285196">
        <w:rPr>
          <w:rFonts w:ascii="inherit" w:eastAsia="Times New Roman" w:hAnsi="inherit" w:cs="Arial"/>
          <w:color w:val="222222"/>
          <w:sz w:val="21"/>
          <w:szCs w:val="21"/>
          <w:bdr w:val="none" w:sz="0" w:space="0" w:color="auto" w:frame="1"/>
          <w:lang w:eastAsia="tr-TR"/>
        </w:rPr>
        <w:fldChar w:fldCharType="end"/>
      </w:r>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97" w:history="1">
        <w:r w:rsidRPr="00285196">
          <w:rPr>
            <w:rFonts w:ascii="Arial" w:eastAsia="Times New Roman" w:hAnsi="Arial" w:cs="Arial"/>
            <w:caps/>
            <w:color w:val="000000"/>
            <w:sz w:val="30"/>
            <w:szCs w:val="30"/>
            <w:u w:val="single"/>
            <w:bdr w:val="none" w:sz="0" w:space="0" w:color="auto" w:frame="1"/>
            <w:lang w:eastAsia="tr-TR"/>
          </w:rPr>
          <w:t>5.1 NEUTROPENIA AND THROMBOCYTOPENIA</w:t>
        </w:r>
      </w:hyperlink>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bookmarkStart w:id="19" w:name="_56758604-e935-0b0e-1cc7-5cd9d17876ba"/>
      <w:bookmarkStart w:id="20" w:name="section-6"/>
      <w:bookmarkEnd w:id="19"/>
      <w:bookmarkEnd w:id="20"/>
      <w:r w:rsidRPr="00285196">
        <w:rPr>
          <w:rFonts w:ascii="inherit" w:eastAsia="Times New Roman" w:hAnsi="inherit" w:cs="Arial"/>
          <w:color w:val="222222"/>
          <w:sz w:val="21"/>
          <w:szCs w:val="21"/>
          <w:lang w:eastAsia="tr-TR"/>
        </w:rPr>
        <w:t>Treatment with decitabine for injection is associated with neutropenia and thrombocytopenia. Complete blood and platelet counts should be performed as needed to monitor response and toxicity, but at a minimum, prior to each dosing cycle. After administration of the recommended dosage for the first cycle, treatment for subsequent cycles should be adjusted [see </w:t>
      </w:r>
      <w:r w:rsidRPr="00285196">
        <w:rPr>
          <w:rFonts w:ascii="inherit" w:eastAsia="Times New Roman" w:hAnsi="inherit" w:cs="Arial"/>
          <w:b/>
          <w:bCs/>
          <w:color w:val="222222"/>
          <w:sz w:val="21"/>
          <w:szCs w:val="21"/>
          <w:bdr w:val="none" w:sz="0" w:space="0" w:color="auto" w:frame="1"/>
          <w:lang w:eastAsia="tr-TR"/>
        </w:rPr>
        <w:t>Dosage and Administration </w:t>
      </w:r>
      <w:hyperlink r:id="rId98" w:anchor="_ff18cd42-dfe2-9bb6-86b7-f7fcbe7e1436" w:history="1">
        <w:r w:rsidRPr="00285196">
          <w:rPr>
            <w:rFonts w:ascii="Arial" w:eastAsia="Times New Roman" w:hAnsi="Arial" w:cs="Arial"/>
            <w:b/>
            <w:bCs/>
            <w:caps/>
            <w:color w:val="1D86BB"/>
            <w:sz w:val="21"/>
            <w:szCs w:val="21"/>
            <w:u w:val="single"/>
            <w:bdr w:val="none" w:sz="0" w:space="0" w:color="auto" w:frame="1"/>
            <w:lang w:eastAsia="tr-TR"/>
          </w:rPr>
          <w:t>(</w:t>
        </w:r>
        <w:proofErr w:type="gramStart"/>
        <w:r w:rsidRPr="00285196">
          <w:rPr>
            <w:rFonts w:ascii="Arial" w:eastAsia="Times New Roman" w:hAnsi="Arial" w:cs="Arial"/>
            <w:b/>
            <w:bCs/>
            <w:caps/>
            <w:color w:val="1D86BB"/>
            <w:sz w:val="21"/>
            <w:szCs w:val="21"/>
            <w:u w:val="single"/>
            <w:bdr w:val="none" w:sz="0" w:space="0" w:color="auto" w:frame="1"/>
            <w:lang w:eastAsia="tr-TR"/>
          </w:rPr>
          <w:t>2.1</w:t>
        </w:r>
        <w:proofErr w:type="gramEnd"/>
        <w:r w:rsidRPr="00285196">
          <w:rPr>
            <w:rFonts w:ascii="Arial" w:eastAsia="Times New Roman" w:hAnsi="Arial" w:cs="Arial"/>
            <w:b/>
            <w:bCs/>
            <w:caps/>
            <w:color w:val="1D86BB"/>
            <w:sz w:val="21"/>
            <w:szCs w:val="21"/>
            <w:u w:val="single"/>
            <w:bdr w:val="none" w:sz="0" w:space="0" w:color="auto" w:frame="1"/>
            <w:lang w:eastAsia="tr-TR"/>
          </w:rPr>
          <w:t>,</w:t>
        </w:r>
      </w:hyperlink>
      <w:hyperlink r:id="rId99" w:anchor="_e6fefd21-9ebb-7d41-3d91-723f27457aa4" w:history="1">
        <w:r w:rsidRPr="00285196">
          <w:rPr>
            <w:rFonts w:ascii="Arial" w:eastAsia="Times New Roman" w:hAnsi="Arial" w:cs="Arial"/>
            <w:b/>
            <w:bCs/>
            <w:caps/>
            <w:color w:val="1D86BB"/>
            <w:sz w:val="21"/>
            <w:szCs w:val="21"/>
            <w:u w:val="single"/>
            <w:bdr w:val="none" w:sz="0" w:space="0" w:color="auto" w:frame="1"/>
            <w:lang w:eastAsia="tr-TR"/>
          </w:rPr>
          <w:t>2.2)</w:t>
        </w:r>
      </w:hyperlink>
      <w:r w:rsidRPr="00285196">
        <w:rPr>
          <w:rFonts w:ascii="inherit" w:eastAsia="Times New Roman" w:hAnsi="inherit" w:cs="Arial"/>
          <w:color w:val="222222"/>
          <w:sz w:val="21"/>
          <w:szCs w:val="21"/>
          <w:lang w:eastAsia="tr-TR"/>
        </w:rPr>
        <w:t>]. Clinicians should consider the need for early institution of growth factors and/or antimicrobial agents for the prevention or treatment of infections in patients with MDS. Myelosuppression and worsening neutropenia may occur more frequently in the first or second treatment cycles, and may not necessarily indicate progression of underlying MDS.  </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00"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101" w:history="1">
        <w:r w:rsidRPr="00285196">
          <w:rPr>
            <w:rFonts w:ascii="Arial" w:eastAsia="Times New Roman" w:hAnsi="Arial" w:cs="Arial"/>
            <w:caps/>
            <w:color w:val="000000"/>
            <w:sz w:val="30"/>
            <w:szCs w:val="30"/>
            <w:u w:val="single"/>
            <w:bdr w:val="none" w:sz="0" w:space="0" w:color="auto" w:frame="1"/>
            <w:lang w:eastAsia="tr-TR"/>
          </w:rPr>
          <w:t>5.2 USE IN PREGNANCY</w:t>
        </w:r>
      </w:hyperlink>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bookmarkStart w:id="21" w:name="_e3fbdc13-1900-588b-14f4-d0ef87f9bee2"/>
      <w:bookmarkStart w:id="22" w:name="section-7"/>
      <w:bookmarkEnd w:id="21"/>
      <w:bookmarkEnd w:id="22"/>
      <w:r w:rsidRPr="00285196">
        <w:rPr>
          <w:rFonts w:ascii="inherit" w:eastAsia="Times New Roman" w:hAnsi="inherit" w:cs="Arial"/>
          <w:color w:val="222222"/>
          <w:sz w:val="21"/>
          <w:szCs w:val="21"/>
          <w:lang w:eastAsia="tr-TR"/>
        </w:rPr>
        <w:t>Decitabine for injection can cause fetal harm when administered to a pregnant woman. Based on its mechanism of action, decitabine for injection is expected to result in adverse reproductive effects. In preclinical studies in mice and rats, decitabine was teratogenic, fetotoxic, and embryotoxic. There are no adequate and well-controlled studies of decitabine for injection in pregnant women. If this drug is used during pregnancy, or if a patient becomes pregnant while receiving this drug, the patient should be apprised of the potential hazard to the fetus. Women of childbearing potential should be advised to avoid becoming pregnant while taking decitabine for injection [see </w:t>
      </w:r>
      <w:r w:rsidRPr="00285196">
        <w:rPr>
          <w:rFonts w:ascii="inherit" w:eastAsia="Times New Roman" w:hAnsi="inherit" w:cs="Arial"/>
          <w:b/>
          <w:bCs/>
          <w:color w:val="222222"/>
          <w:sz w:val="21"/>
          <w:szCs w:val="21"/>
          <w:bdr w:val="none" w:sz="0" w:space="0" w:color="auto" w:frame="1"/>
          <w:lang w:eastAsia="tr-TR"/>
        </w:rPr>
        <w:t>Use in Specific Populations </w:t>
      </w:r>
      <w:hyperlink r:id="rId102" w:anchor="PREGNANCY" w:history="1">
        <w:r w:rsidRPr="00285196">
          <w:rPr>
            <w:rFonts w:ascii="Arial" w:eastAsia="Times New Roman" w:hAnsi="Arial" w:cs="Arial"/>
            <w:b/>
            <w:bCs/>
            <w:caps/>
            <w:color w:val="1D86BB"/>
            <w:sz w:val="21"/>
            <w:szCs w:val="21"/>
            <w:u w:val="single"/>
            <w:bdr w:val="none" w:sz="0" w:space="0" w:color="auto" w:frame="1"/>
            <w:lang w:eastAsia="tr-TR"/>
          </w:rPr>
          <w:t>(</w:t>
        </w:r>
        <w:proofErr w:type="gramStart"/>
        <w:r w:rsidRPr="00285196">
          <w:rPr>
            <w:rFonts w:ascii="Arial" w:eastAsia="Times New Roman" w:hAnsi="Arial" w:cs="Arial"/>
            <w:b/>
            <w:bCs/>
            <w:caps/>
            <w:color w:val="1D86BB"/>
            <w:sz w:val="21"/>
            <w:szCs w:val="21"/>
            <w:u w:val="single"/>
            <w:bdr w:val="none" w:sz="0" w:space="0" w:color="auto" w:frame="1"/>
            <w:lang w:eastAsia="tr-TR"/>
          </w:rPr>
          <w:t>8.1</w:t>
        </w:r>
        <w:proofErr w:type="gramEnd"/>
        <w:r w:rsidRPr="00285196">
          <w:rPr>
            <w:rFonts w:ascii="Arial" w:eastAsia="Times New Roman" w:hAnsi="Arial" w:cs="Arial"/>
            <w:b/>
            <w:bCs/>
            <w:caps/>
            <w:color w:val="1D86BB"/>
            <w:sz w:val="21"/>
            <w:szCs w:val="21"/>
            <w:u w:val="single"/>
            <w:bdr w:val="none" w:sz="0" w:space="0" w:color="auto" w:frame="1"/>
            <w:lang w:eastAsia="tr-TR"/>
          </w:rPr>
          <w:t>)</w:t>
        </w:r>
      </w:hyperlink>
      <w:r w:rsidRPr="00285196">
        <w:rPr>
          <w:rFonts w:ascii="inherit" w:eastAsia="Times New Roman" w:hAnsi="inherit" w:cs="Arial"/>
          <w:color w:val="222222"/>
          <w:sz w:val="21"/>
          <w:szCs w:val="21"/>
          <w:lang w:eastAsia="tr-TR"/>
        </w:rPr>
        <w:t>].</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03"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104" w:history="1">
        <w:r w:rsidRPr="00285196">
          <w:rPr>
            <w:rFonts w:ascii="Arial" w:eastAsia="Times New Roman" w:hAnsi="Arial" w:cs="Arial"/>
            <w:caps/>
            <w:color w:val="000000"/>
            <w:sz w:val="30"/>
            <w:szCs w:val="30"/>
            <w:u w:val="single"/>
            <w:bdr w:val="none" w:sz="0" w:space="0" w:color="auto" w:frame="1"/>
            <w:lang w:eastAsia="tr-TR"/>
          </w:rPr>
          <w:t>5.3 USE IN WOMEN OF CHILDBEARING POTENTIAL</w:t>
        </w:r>
      </w:hyperlink>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bookmarkStart w:id="23" w:name="_0976f89f-da44-fa42-d3d6-7e0f1931fcec"/>
      <w:bookmarkStart w:id="24" w:name="section-8"/>
      <w:bookmarkEnd w:id="23"/>
      <w:bookmarkEnd w:id="24"/>
      <w:r w:rsidRPr="00285196">
        <w:rPr>
          <w:rFonts w:ascii="inherit" w:eastAsia="Times New Roman" w:hAnsi="inherit" w:cs="Arial"/>
          <w:color w:val="222222"/>
          <w:sz w:val="21"/>
          <w:szCs w:val="21"/>
          <w:lang w:eastAsia="tr-TR"/>
        </w:rPr>
        <w:t>Women of childbearing potential should be advised to avoid becoming pregnant while receiving decitabine for injection and for 1 month following completion of treatment. Women of childbearing potential should be counseled to use effective contraception during this time [see </w:t>
      </w:r>
      <w:r w:rsidRPr="00285196">
        <w:rPr>
          <w:rFonts w:ascii="inherit" w:eastAsia="Times New Roman" w:hAnsi="inherit" w:cs="Arial"/>
          <w:b/>
          <w:bCs/>
          <w:color w:val="222222"/>
          <w:sz w:val="21"/>
          <w:szCs w:val="21"/>
          <w:bdr w:val="none" w:sz="0" w:space="0" w:color="auto" w:frame="1"/>
          <w:lang w:eastAsia="tr-TR"/>
        </w:rPr>
        <w:t>Use in Specific Populations </w:t>
      </w:r>
      <w:hyperlink r:id="rId105" w:anchor="PREGNANCY" w:history="1">
        <w:r w:rsidRPr="00285196">
          <w:rPr>
            <w:rFonts w:ascii="Arial" w:eastAsia="Times New Roman" w:hAnsi="Arial" w:cs="Arial"/>
            <w:b/>
            <w:bCs/>
            <w:caps/>
            <w:color w:val="1D86BB"/>
            <w:sz w:val="21"/>
            <w:szCs w:val="21"/>
            <w:u w:val="single"/>
            <w:bdr w:val="none" w:sz="0" w:space="0" w:color="auto" w:frame="1"/>
            <w:lang w:eastAsia="tr-TR"/>
          </w:rPr>
          <w:t>(</w:t>
        </w:r>
        <w:proofErr w:type="gramStart"/>
        <w:r w:rsidRPr="00285196">
          <w:rPr>
            <w:rFonts w:ascii="Arial" w:eastAsia="Times New Roman" w:hAnsi="Arial" w:cs="Arial"/>
            <w:b/>
            <w:bCs/>
            <w:caps/>
            <w:color w:val="1D86BB"/>
            <w:sz w:val="21"/>
            <w:szCs w:val="21"/>
            <w:u w:val="single"/>
            <w:bdr w:val="none" w:sz="0" w:space="0" w:color="auto" w:frame="1"/>
            <w:lang w:eastAsia="tr-TR"/>
          </w:rPr>
          <w:t>8.1</w:t>
        </w:r>
        <w:proofErr w:type="gramEnd"/>
        <w:r w:rsidRPr="00285196">
          <w:rPr>
            <w:rFonts w:ascii="Arial" w:eastAsia="Times New Roman" w:hAnsi="Arial" w:cs="Arial"/>
            <w:b/>
            <w:bCs/>
            <w:caps/>
            <w:color w:val="1D86BB"/>
            <w:sz w:val="21"/>
            <w:szCs w:val="21"/>
            <w:u w:val="single"/>
            <w:bdr w:val="none" w:sz="0" w:space="0" w:color="auto" w:frame="1"/>
            <w:lang w:eastAsia="tr-TR"/>
          </w:rPr>
          <w:t>)</w:t>
        </w:r>
      </w:hyperlink>
      <w:r w:rsidRPr="00285196">
        <w:rPr>
          <w:rFonts w:ascii="inherit" w:eastAsia="Times New Roman" w:hAnsi="inherit" w:cs="Arial"/>
          <w:color w:val="222222"/>
          <w:sz w:val="21"/>
          <w:szCs w:val="21"/>
          <w:lang w:eastAsia="tr-TR"/>
        </w:rPr>
        <w:t>]. Based on its mechanism of action, decitabine for injection can cause fetal harm if used during pregnancy.</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06"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107" w:history="1">
        <w:r w:rsidRPr="00285196">
          <w:rPr>
            <w:rFonts w:ascii="Arial" w:eastAsia="Times New Roman" w:hAnsi="Arial" w:cs="Arial"/>
            <w:caps/>
            <w:color w:val="000000"/>
            <w:sz w:val="30"/>
            <w:szCs w:val="30"/>
            <w:u w:val="single"/>
            <w:bdr w:val="none" w:sz="0" w:space="0" w:color="auto" w:frame="1"/>
            <w:lang w:eastAsia="tr-TR"/>
          </w:rPr>
          <w:t>5.4 USE IN MEN</w:t>
        </w:r>
      </w:hyperlink>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bookmarkStart w:id="25" w:name="_16d3dcfc-cd28-5aef-3c56-5b09bc2b417a"/>
      <w:bookmarkStart w:id="26" w:name="section-9"/>
      <w:bookmarkEnd w:id="25"/>
      <w:bookmarkEnd w:id="26"/>
      <w:r w:rsidRPr="00285196">
        <w:rPr>
          <w:rFonts w:ascii="inherit" w:eastAsia="Times New Roman" w:hAnsi="inherit" w:cs="Arial"/>
          <w:color w:val="222222"/>
          <w:sz w:val="21"/>
          <w:szCs w:val="21"/>
          <w:lang w:eastAsia="tr-TR"/>
        </w:rPr>
        <w:t>Men should be advised not to father a child while receiving treatment with decitabine for injection, and for 2 months following completion of treatment [see </w:t>
      </w:r>
      <w:r w:rsidRPr="00285196">
        <w:rPr>
          <w:rFonts w:ascii="inherit" w:eastAsia="Times New Roman" w:hAnsi="inherit" w:cs="Arial"/>
          <w:b/>
          <w:bCs/>
          <w:color w:val="222222"/>
          <w:sz w:val="21"/>
          <w:szCs w:val="21"/>
          <w:bdr w:val="none" w:sz="0" w:space="0" w:color="auto" w:frame="1"/>
          <w:lang w:eastAsia="tr-TR"/>
        </w:rPr>
        <w:t>Nonclinical Toxicology (</w:t>
      </w:r>
      <w:hyperlink r:id="rId108" w:anchor="CARCINOGENESIS_AND_MUTAGENESIS_AND_IMPAIRMENT_OF_FERTILITY" w:history="1">
        <w:proofErr w:type="gramStart"/>
        <w:r w:rsidRPr="00285196">
          <w:rPr>
            <w:rFonts w:ascii="Arial" w:eastAsia="Times New Roman" w:hAnsi="Arial" w:cs="Arial"/>
            <w:b/>
            <w:bCs/>
            <w:caps/>
            <w:color w:val="1D86BB"/>
            <w:sz w:val="21"/>
            <w:szCs w:val="21"/>
            <w:u w:val="single"/>
            <w:bdr w:val="none" w:sz="0" w:space="0" w:color="auto" w:frame="1"/>
            <w:lang w:eastAsia="tr-TR"/>
          </w:rPr>
          <w:t>13.1</w:t>
        </w:r>
        <w:proofErr w:type="gramEnd"/>
        <w:r w:rsidRPr="00285196">
          <w:rPr>
            <w:rFonts w:ascii="Arial" w:eastAsia="Times New Roman" w:hAnsi="Arial" w:cs="Arial"/>
            <w:b/>
            <w:bCs/>
            <w:caps/>
            <w:color w:val="1D86BB"/>
            <w:sz w:val="21"/>
            <w:szCs w:val="21"/>
            <w:u w:val="single"/>
            <w:bdr w:val="none" w:sz="0" w:space="0" w:color="auto" w:frame="1"/>
            <w:lang w:eastAsia="tr-TR"/>
          </w:rPr>
          <w:t>)</w:t>
        </w:r>
      </w:hyperlink>
      <w:r w:rsidRPr="00285196">
        <w:rPr>
          <w:rFonts w:ascii="inherit" w:eastAsia="Times New Roman" w:hAnsi="inherit" w:cs="Arial"/>
          <w:color w:val="222222"/>
          <w:sz w:val="21"/>
          <w:szCs w:val="21"/>
          <w:lang w:eastAsia="tr-TR"/>
        </w:rPr>
        <w:t>]. Men with female partners of childbearing potential should use effective contraception during this time. Based on its mechanism of action, decitabine for injection alters DNA synthesis and can cause fetal harm.</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09"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110" w:history="1">
        <w:r w:rsidRPr="00285196">
          <w:rPr>
            <w:rFonts w:ascii="Arial" w:eastAsia="Times New Roman" w:hAnsi="Arial" w:cs="Arial"/>
            <w:caps/>
            <w:color w:val="000000"/>
            <w:sz w:val="30"/>
            <w:szCs w:val="30"/>
            <w:u w:val="single"/>
            <w:bdr w:val="none" w:sz="0" w:space="0" w:color="auto" w:frame="1"/>
            <w:lang w:eastAsia="tr-TR"/>
          </w:rPr>
          <w:t>6 ADVERSE REACTIONS</w:t>
        </w:r>
      </w:hyperlink>
    </w:p>
    <w:p w:rsidR="00285196" w:rsidRPr="00285196" w:rsidRDefault="00285196" w:rsidP="00285196">
      <w:pPr>
        <w:spacing w:after="0" w:line="270" w:lineRule="atLeast"/>
        <w:ind w:left="600" w:right="150"/>
        <w:textAlignment w:val="baseline"/>
        <w:outlineLvl w:val="1"/>
        <w:rPr>
          <w:rFonts w:ascii="inherit" w:eastAsia="Times New Roman" w:hAnsi="inherit" w:cs="Arial"/>
          <w:b/>
          <w:bCs/>
          <w:color w:val="222222"/>
          <w:sz w:val="36"/>
          <w:szCs w:val="36"/>
          <w:lang w:eastAsia="tr-TR"/>
        </w:rPr>
      </w:pPr>
      <w:bookmarkStart w:id="27" w:name="ADVERSE_REACTIONS"/>
      <w:bookmarkStart w:id="28" w:name="section-10"/>
      <w:bookmarkStart w:id="29" w:name="_275ce0c0-5084-2108-a5a2-aeefe5b93d55"/>
      <w:bookmarkStart w:id="30" w:name="section-10.1"/>
      <w:bookmarkEnd w:id="27"/>
      <w:bookmarkEnd w:id="28"/>
      <w:bookmarkEnd w:id="29"/>
      <w:bookmarkEnd w:id="30"/>
      <w:r w:rsidRPr="00285196">
        <w:rPr>
          <w:rFonts w:ascii="inherit" w:eastAsia="Times New Roman" w:hAnsi="inherit" w:cs="Arial"/>
          <w:b/>
          <w:bCs/>
          <w:color w:val="222222"/>
          <w:sz w:val="36"/>
          <w:szCs w:val="36"/>
          <w:bdr w:val="none" w:sz="0" w:space="0" w:color="auto" w:frame="1"/>
          <w:lang w:eastAsia="tr-TR"/>
        </w:rPr>
        <w:t>6.1 Clinical Studies Experience</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Because clinical trials are conducted under widely varying conditions, adverse reaction rates observed in the clinical trials of a drug cannot be directly compared to rates in the clinical trials of another drug and may not reflect the rates observed in practice.  </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 xml:space="preserve">Most Commonly Occurring Adverse Reactions: neutropenia, thrombocytopenia, anemia, fatigue, pyrexia, nausea, cough, petechiae, constipation, diarrhea, and </w:t>
      </w:r>
      <w:proofErr w:type="gramStart"/>
      <w:r w:rsidRPr="00285196">
        <w:rPr>
          <w:rFonts w:ascii="inherit" w:eastAsia="Times New Roman" w:hAnsi="inherit" w:cs="Arial"/>
          <w:color w:val="222222"/>
          <w:sz w:val="21"/>
          <w:szCs w:val="21"/>
          <w:lang w:eastAsia="tr-TR"/>
        </w:rPr>
        <w:t>hyperglycemia.Adverse</w:t>
      </w:r>
      <w:proofErr w:type="gramEnd"/>
      <w:r w:rsidRPr="00285196">
        <w:rPr>
          <w:rFonts w:ascii="inherit" w:eastAsia="Times New Roman" w:hAnsi="inherit" w:cs="Arial"/>
          <w:color w:val="222222"/>
          <w:sz w:val="21"/>
          <w:szCs w:val="21"/>
          <w:lang w:eastAsia="tr-TR"/>
        </w:rPr>
        <w:t xml:space="preserve"> Reactions Most Frequently (≥ 1%) Resulting in Clinical Intervention in the Phase 3 Trial in the decitabine for injection Arm:</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Discontinuation: thrombocytopenia, neutropenia, pneumonia, Mycobacterium avium complex infection, cardio-respiratory arrest, increased blood bilirubin, intracranial hemorrhage, abnormal liver function tests.</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Dose Delayed: neutropenia, pulmonary edema, atrial fibrillation, central line infection, febrile neutropenia.</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Dose Reduced: neutropenia, thrombocytopenia, anemia, lethargy, edema, tachycardia, depression, pharyngitis.</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 xml:space="preserve">Discussion of Adverse Reactions Information Decitabine for injection was studied in 3 single-arm studies (N=66, N= 8, N=99) and 1 controlled supportive care study (N=83 decitabine for injection, N=81 supportive care). The </w:t>
      </w:r>
      <w:proofErr w:type="gramStart"/>
      <w:r w:rsidRPr="00285196">
        <w:rPr>
          <w:rFonts w:ascii="inherit" w:eastAsia="Times New Roman" w:hAnsi="inherit" w:cs="Arial"/>
          <w:color w:val="222222"/>
          <w:sz w:val="21"/>
          <w:szCs w:val="21"/>
          <w:lang w:eastAsia="tr-TR"/>
        </w:rPr>
        <w:t>data</w:t>
      </w:r>
      <w:proofErr w:type="gramEnd"/>
      <w:r w:rsidRPr="00285196">
        <w:rPr>
          <w:rFonts w:ascii="inherit" w:eastAsia="Times New Roman" w:hAnsi="inherit" w:cs="Arial"/>
          <w:color w:val="222222"/>
          <w:sz w:val="21"/>
          <w:szCs w:val="21"/>
          <w:lang w:eastAsia="tr-TR"/>
        </w:rPr>
        <w:t xml:space="preserve"> described below reflect exposure to decitabine for injection in 83 patients in the MDS trial. In the trial, patients received 15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intravenously every 8 hours for 3 days every 6 weeks. The median number of decitabine for injection cycles was 3 (range 0 to 9).</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Table 1 presents all adverse events regardless of causality occurring in at least 5% of patients in the decitabine for injection group and at a rate greater than supportive care.</w:t>
      </w:r>
    </w:p>
    <w:p w:rsidR="00285196" w:rsidRPr="00285196" w:rsidRDefault="00285196" w:rsidP="00285196">
      <w:pPr>
        <w:spacing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t>Table 1 Adverse Events Reported in ≥ 5% of Patients in the Decitabine For Injection Group and at a Rate Greater than Supportive Care in Phase 3 MDS Trial</w:t>
      </w:r>
      <w:r w:rsidRPr="00285196">
        <w:rPr>
          <w:rFonts w:ascii="inherit" w:eastAsia="Times New Roman" w:hAnsi="inherit" w:cs="Arial"/>
          <w:color w:val="222222"/>
          <w:sz w:val="21"/>
          <w:szCs w:val="21"/>
          <w:lang w:eastAsia="tr-TR"/>
        </w:rPr>
        <w:t> </w:t>
      </w:r>
    </w:p>
    <w:tbl>
      <w:tblPr>
        <w:tblW w:w="0" w:type="auto"/>
        <w:tblCellMar>
          <w:left w:w="0" w:type="dxa"/>
          <w:right w:w="0" w:type="dxa"/>
        </w:tblCellMar>
        <w:tblLook w:val="04A0" w:firstRow="1" w:lastRow="0" w:firstColumn="1" w:lastColumn="0" w:noHBand="0" w:noVBand="1"/>
      </w:tblPr>
      <w:tblGrid>
        <w:gridCol w:w="4326"/>
        <w:gridCol w:w="2747"/>
        <w:gridCol w:w="940"/>
        <w:gridCol w:w="940"/>
        <w:gridCol w:w="240"/>
      </w:tblGrid>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jc w:val="center"/>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Decitabine For Injection</w:t>
            </w:r>
            <w:r w:rsidRPr="00285196">
              <w:rPr>
                <w:rFonts w:ascii="inherit" w:eastAsia="Times New Roman" w:hAnsi="inherit" w:cs="Times New Roman"/>
                <w:sz w:val="24"/>
                <w:szCs w:val="24"/>
                <w:lang w:eastAsia="tr-TR"/>
              </w:rPr>
              <w:t> </w:t>
            </w:r>
            <w:r w:rsidRPr="00285196">
              <w:rPr>
                <w:rFonts w:ascii="inherit" w:eastAsia="Times New Roman" w:hAnsi="inherit" w:cs="Times New Roman"/>
                <w:sz w:val="24"/>
                <w:szCs w:val="24"/>
                <w:lang w:eastAsia="tr-TR"/>
              </w:rPr>
              <w:br/>
            </w:r>
            <w:r w:rsidRPr="00285196">
              <w:rPr>
                <w:rFonts w:ascii="inherit" w:eastAsia="Times New Roman" w:hAnsi="inherit" w:cs="Times New Roman"/>
                <w:b/>
                <w:bCs/>
                <w:sz w:val="24"/>
                <w:szCs w:val="24"/>
                <w:bdr w:val="none" w:sz="0" w:space="0" w:color="auto" w:frame="1"/>
                <w:lang w:eastAsia="tr-TR"/>
              </w:rPr>
              <w:t>N = 83 (%)</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jc w:val="center"/>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Supportive Care</w:t>
            </w:r>
            <w:r w:rsidRPr="00285196">
              <w:rPr>
                <w:rFonts w:ascii="inherit" w:eastAsia="Times New Roman" w:hAnsi="inherit" w:cs="Times New Roman"/>
                <w:sz w:val="24"/>
                <w:szCs w:val="24"/>
                <w:lang w:eastAsia="tr-TR"/>
              </w:rPr>
              <w:br/>
            </w:r>
            <w:r w:rsidRPr="00285196">
              <w:rPr>
                <w:rFonts w:ascii="inherit" w:eastAsia="Times New Roman" w:hAnsi="inherit" w:cs="Times New Roman"/>
                <w:b/>
                <w:bCs/>
                <w:sz w:val="24"/>
                <w:szCs w:val="24"/>
                <w:bdr w:val="none" w:sz="0" w:space="0" w:color="auto" w:frame="1"/>
                <w:lang w:eastAsia="tr-TR"/>
              </w:rPr>
              <w:t>N = 81 (%)</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Blood and lymphatic system disorders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Neutropenia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75 (90)</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58 (72)</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Thrombocytopenia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74 (89)</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64 (79)</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Anemia NOS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68 (82)</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60 (74)</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Febrile neutropenia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24 (29)</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Leukopenia NOS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23 (28)</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11 (14)</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Lymphadenopathy</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10 (12)</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(7)</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Thrombocythemia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r>
      <w:tr w:rsidR="00285196" w:rsidRPr="00285196" w:rsidTr="00285196">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Cardiac disorders</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Pulmonary edema NOS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0 (0)</w:t>
            </w:r>
          </w:p>
        </w:tc>
      </w:tr>
      <w:tr w:rsidR="00285196" w:rsidRPr="00285196" w:rsidTr="00285196">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Eye disorders</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Vision blurred</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0 (0)</w:t>
            </w:r>
          </w:p>
        </w:tc>
      </w:tr>
      <w:tr w:rsidR="00285196" w:rsidRPr="00285196" w:rsidTr="00285196">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Gastrointestinal disorders</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Nausea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35 (42)</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13 (16)</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Constipation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29 (35)</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11 (14)</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Diarrhea NOS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28 (34)</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13 (16)</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Vomiting NOS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21 (25)</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 (9)</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Abdominal pain NOS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12 (14)</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Oral mucosal petechiae</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11 (13)</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Stomatitis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10 (12)</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Dyspepsia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10 (12)</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Ascites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(10)</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 (2)</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Gingival bleeding</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 (8)</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Hemorrhoids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 (8)</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(4)</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Loose stools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(7)</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(4)</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Tongue ulceration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(7)</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 (2)</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Dysphagia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 (2)</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Oral soft tissue disorder NOS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Lip ulceration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(4)</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Abdominal distension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Abdominal pain upper</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Gastro-esophageal reflux disease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0 (0)</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Glossodynia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0 (0) </w:t>
            </w:r>
          </w:p>
        </w:tc>
      </w:tr>
      <w:tr w:rsidR="00285196" w:rsidRPr="00285196" w:rsidTr="00285196">
        <w:tc>
          <w:tcPr>
            <w:tcW w:w="0" w:type="auto"/>
            <w:gridSpan w:val="4"/>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General disorders and administrative site disorders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Pyrexia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44 (53)</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23 (28)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Edema peripheral</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21 (25)</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13 (16)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Rigors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18 (22)</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14 (17)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Edema NOS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15 (18)</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Pain NOS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11 (13)</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Lethargy</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10 (12)</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(4)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Tenderness NOS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 (11)</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0 (0)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Fall</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 (8)</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(4)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Chest discomfort</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(7)</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(4)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Intermittent pyrexia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(4)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Malaise</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Crepitations NOS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Catheter site erythema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Catheter site pain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0 (0)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Injection site swelling</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0 (0) </w:t>
            </w:r>
          </w:p>
        </w:tc>
      </w:tr>
      <w:tr w:rsidR="00285196" w:rsidRPr="00285196" w:rsidTr="00285196">
        <w:tc>
          <w:tcPr>
            <w:tcW w:w="0" w:type="auto"/>
            <w:gridSpan w:val="4"/>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Hepatobiliary Disorders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Hyperbilirubinemia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12 (14)</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 </w:t>
            </w:r>
          </w:p>
        </w:tc>
      </w:tr>
      <w:tr w:rsidR="00285196" w:rsidRPr="00285196" w:rsidTr="00285196">
        <w:tc>
          <w:tcPr>
            <w:tcW w:w="0" w:type="auto"/>
            <w:gridSpan w:val="4"/>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Infections and Infestations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Pneumonia NOS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18 (22)</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11 (14)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Cellulitis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10 (12)</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(7)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Candidal infection NOS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(10)</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Catheter related infection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 (8)</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0 (0)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Urinary tract infection NOS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(7)</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Staphylococcal infection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(7)</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0 (0)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Oral candidiasis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 (2)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Sinusitis NOS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 (2)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Bacteremia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0 (0) </w:t>
            </w:r>
          </w:p>
        </w:tc>
      </w:tr>
      <w:tr w:rsidR="00285196" w:rsidRPr="00285196" w:rsidTr="00285196">
        <w:tc>
          <w:tcPr>
            <w:tcW w:w="0" w:type="auto"/>
            <w:gridSpan w:val="4"/>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Injury, poisoning and procedural complications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Transfusion reaction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(7)</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(4)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Abrasion NOS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 </w:t>
            </w:r>
          </w:p>
        </w:tc>
      </w:tr>
      <w:tr w:rsidR="00285196" w:rsidRPr="00285196" w:rsidTr="00285196">
        <w:tc>
          <w:tcPr>
            <w:tcW w:w="0" w:type="auto"/>
            <w:gridSpan w:val="4"/>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Investigations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Cardiac murmur NOS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13 (16)</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 (11)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Blood alkaline phosphatase NOS increased</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 (11)</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 (9)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Aspartate aminotransferase increased</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(10)</w:t>
            </w:r>
          </w:p>
        </w:tc>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 (9)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Blood urea increased</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(10)</w:t>
            </w:r>
          </w:p>
        </w:tc>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Blood lactate dehydrogenase increased</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 (8)</w:t>
            </w:r>
          </w:p>
        </w:tc>
        <w:tc>
          <w:tcPr>
            <w:tcW w:w="0" w:type="auto"/>
            <w:gridSpan w:val="2"/>
            <w:vMerge w:val="restart"/>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(6)0 (0)</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Blood albumin decreased</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(7)</w:t>
            </w:r>
          </w:p>
        </w:tc>
        <w:tc>
          <w:tcPr>
            <w:tcW w:w="0" w:type="auto"/>
            <w:gridSpan w:val="2"/>
            <w:vMerge/>
            <w:tcBorders>
              <w:top w:val="single" w:sz="6" w:space="0" w:color="000000"/>
              <w:left w:val="single" w:sz="6" w:space="0" w:color="000000"/>
              <w:bottom w:val="single" w:sz="6" w:space="0" w:color="000000"/>
              <w:right w:val="single" w:sz="6" w:space="0" w:color="000000"/>
            </w:tcBorders>
            <w:vAlign w:val="bottom"/>
            <w:hideMark/>
          </w:tcPr>
          <w:p w:rsidR="00285196" w:rsidRPr="00285196" w:rsidRDefault="00285196" w:rsidP="00285196">
            <w:pPr>
              <w:spacing w:after="0" w:line="240" w:lineRule="auto"/>
              <w:rPr>
                <w:rFonts w:ascii="inherit" w:eastAsia="Times New Roman" w:hAnsi="inherit" w:cs="Times New Roman"/>
                <w:sz w:val="24"/>
                <w:szCs w:val="24"/>
                <w:lang w:eastAsia="tr-TR"/>
              </w:rPr>
            </w:pP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Blood bicarbonate increased</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Blood chloride decreased</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Protein total decreased</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(4)</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Blood bicarbonate decreased</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Blood bilirubin decreased</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gridSpan w:val="4"/>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Metabolism and nutrition disorders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Hyperglycemia NOS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27 (33)</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16 (20)</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Hypoalbuminemia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20 (24)</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14 (17)</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Hypomagnesemia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20 (24)</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(7)</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Hypokalemia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18 (22)</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10 (12)</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Hyponatremia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16 (19)</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13 (16)</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Appetite decreased NOS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13 (16)</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12 (15)</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Anorexia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13 (16)</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(10)</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Hyperkalemia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11 (13)</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(4)</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Dehydration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Musculoskeletal and connective tissue disorders</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Arthralgia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17 (20)</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(10)</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Pain in limb</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16 (19)</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(10)</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Back pain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14 (17)</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Chest wall pain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(7)</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Musculoskeletal discomfort</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0 (0)</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Myalgia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Nervous system disorders</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Headache</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23 (28)</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11 (14)</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Dizziness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15 (18)</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10 (12)</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Hypoesthesia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 (11)</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Psychiatric disorders</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Insomnia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23 (28)</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11 (14)</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Confusional state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10 (12)</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(4)</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Anxiety</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 (11)</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(10)</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gridSpan w:val="4"/>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Renal and urinary disorders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Dysuria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(4)</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Urinary frequency</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Respiratory, thoracic and Mediastinal disorders</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Cough</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33 (40)</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25 (31)</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Pharyngitis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13 (16)</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(7)</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Crackles lung</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12 (14)</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Breath sounds decreased</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(10)</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 (9)</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Hypoxia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(10)</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Rales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 (8)</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 (2)</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Postnasal drip</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 (2)</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Skin and subcutaneous tissue disorders</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Ecchymosis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18 (22)</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12 (15)</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Rash NOS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16 (19)</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 (9)</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Erythema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12 (14)</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Skin lesion NOS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 (11)</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(4)</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Pruritis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 (11)</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 (2)</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Alopecia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 (8)</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Urticaria NOS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Swelling face</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0 (0)</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Vascular disorders</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Petechiae</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32 (39)</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13 (16)</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Pallor</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19 (23)</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10 (12)</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Hypotension NOS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(6)</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Hematoma NOS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(4)</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bl>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proofErr w:type="gramStart"/>
      <w:r w:rsidRPr="00285196">
        <w:rPr>
          <w:rFonts w:ascii="inherit" w:eastAsia="Times New Roman" w:hAnsi="inherit" w:cs="Arial"/>
          <w:b/>
          <w:bCs/>
          <w:color w:val="222222"/>
          <w:sz w:val="21"/>
          <w:szCs w:val="21"/>
          <w:bdr w:val="none" w:sz="0" w:space="0" w:color="auto" w:frame="1"/>
          <w:lang w:eastAsia="tr-TR"/>
        </w:rPr>
        <w:t>Discussion of Clinically Important Adverse Reactions </w:t>
      </w:r>
      <w:r w:rsidRPr="00285196">
        <w:rPr>
          <w:rFonts w:ascii="inherit" w:eastAsia="Times New Roman" w:hAnsi="inherit" w:cs="Arial"/>
          <w:color w:val="222222"/>
          <w:sz w:val="21"/>
          <w:szCs w:val="21"/>
          <w:lang w:eastAsia="tr-TR"/>
        </w:rPr>
        <w:t>In the controlled trial using decitabine for injection dosed at 15 mg/m</w:t>
      </w:r>
      <w:r w:rsidRPr="00285196">
        <w:rPr>
          <w:rFonts w:ascii="inherit" w:eastAsia="Times New Roman" w:hAnsi="inherit" w:cs="Arial"/>
          <w:color w:val="222222"/>
          <w:sz w:val="21"/>
          <w:szCs w:val="21"/>
          <w:bdr w:val="none" w:sz="0" w:space="0" w:color="auto" w:frame="1"/>
          <w:lang w:eastAsia="tr-TR"/>
        </w:rPr>
        <w:t>2</w:t>
      </w:r>
      <w:r w:rsidRPr="00285196">
        <w:rPr>
          <w:rFonts w:ascii="inherit" w:eastAsia="Times New Roman" w:hAnsi="inherit" w:cs="Arial"/>
          <w:color w:val="222222"/>
          <w:sz w:val="21"/>
          <w:szCs w:val="21"/>
          <w:lang w:eastAsia="tr-TR"/>
        </w:rPr>
        <w:t xml:space="preserve">, administered by continuous intravenous infusion over 3 hours repeated every 8 hours for 3 days, the highest incidence of Grade 3 or Grade 4 adverse events in the decitabine for injection arm were neutropenia (87%), thrombocytopenia (85%), febrile neutropenia (23%) and leukopenia (22%). </w:t>
      </w:r>
      <w:proofErr w:type="gramEnd"/>
      <w:r w:rsidRPr="00285196">
        <w:rPr>
          <w:rFonts w:ascii="inherit" w:eastAsia="Times New Roman" w:hAnsi="inherit" w:cs="Arial"/>
          <w:color w:val="222222"/>
          <w:sz w:val="21"/>
          <w:szCs w:val="21"/>
          <w:lang w:eastAsia="tr-TR"/>
        </w:rPr>
        <w:t>Bone marrow suppression was the most frequent cause of dose reduction, delay and discontinuation. Six patients had fatal events associated with their underlying disease and myelosuppression (anemia, neutropenia, and thrombocytopenia) that were considered at least possibly related to drug treatment [See </w:t>
      </w:r>
      <w:r w:rsidRPr="00285196">
        <w:rPr>
          <w:rFonts w:ascii="inherit" w:eastAsia="Times New Roman" w:hAnsi="inherit" w:cs="Arial"/>
          <w:b/>
          <w:bCs/>
          <w:color w:val="222222"/>
          <w:sz w:val="21"/>
          <w:szCs w:val="21"/>
          <w:bdr w:val="none" w:sz="0" w:space="0" w:color="auto" w:frame="1"/>
          <w:lang w:eastAsia="tr-TR"/>
        </w:rPr>
        <w:t>Warnings and Precautions </w:t>
      </w:r>
      <w:hyperlink r:id="rId111" w:anchor="_56758604-e935-0b0e-1cc7-5cd9d17876ba" w:history="1">
        <w:r w:rsidRPr="00285196">
          <w:rPr>
            <w:rFonts w:ascii="Arial" w:eastAsia="Times New Roman" w:hAnsi="Arial" w:cs="Arial"/>
            <w:b/>
            <w:bCs/>
            <w:caps/>
            <w:color w:val="1D86BB"/>
            <w:sz w:val="21"/>
            <w:szCs w:val="21"/>
            <w:u w:val="single"/>
            <w:bdr w:val="none" w:sz="0" w:space="0" w:color="auto" w:frame="1"/>
            <w:lang w:eastAsia="tr-TR"/>
          </w:rPr>
          <w:t>(</w:t>
        </w:r>
        <w:proofErr w:type="gramStart"/>
        <w:r w:rsidRPr="00285196">
          <w:rPr>
            <w:rFonts w:ascii="Arial" w:eastAsia="Times New Roman" w:hAnsi="Arial" w:cs="Arial"/>
            <w:b/>
            <w:bCs/>
            <w:caps/>
            <w:color w:val="1D86BB"/>
            <w:sz w:val="21"/>
            <w:szCs w:val="21"/>
            <w:u w:val="single"/>
            <w:bdr w:val="none" w:sz="0" w:space="0" w:color="auto" w:frame="1"/>
            <w:lang w:eastAsia="tr-TR"/>
          </w:rPr>
          <w:t>5.1</w:t>
        </w:r>
        <w:proofErr w:type="gramEnd"/>
        <w:r w:rsidRPr="00285196">
          <w:rPr>
            <w:rFonts w:ascii="Arial" w:eastAsia="Times New Roman" w:hAnsi="Arial" w:cs="Arial"/>
            <w:b/>
            <w:bCs/>
            <w:caps/>
            <w:color w:val="1D86BB"/>
            <w:sz w:val="21"/>
            <w:szCs w:val="21"/>
            <w:u w:val="single"/>
            <w:bdr w:val="none" w:sz="0" w:space="0" w:color="auto" w:frame="1"/>
            <w:lang w:eastAsia="tr-TR"/>
          </w:rPr>
          <w:t xml:space="preserve"> )]</w:t>
        </w:r>
      </w:hyperlink>
      <w:r w:rsidRPr="00285196">
        <w:rPr>
          <w:rFonts w:ascii="inherit" w:eastAsia="Times New Roman" w:hAnsi="inherit" w:cs="Arial"/>
          <w:color w:val="222222"/>
          <w:sz w:val="21"/>
          <w:szCs w:val="21"/>
          <w:lang w:eastAsia="tr-TR"/>
        </w:rPr>
        <w:t>. Of the 83 decitabine for injection-treated patients, 8 permanently discontinued therapy for adverse events; compared to 1 of 81 patients in the supportive care arm.</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In a single-arm study (N=99) decitabine for injection was dosed at 20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intravenous, infused over one hour daily for 5 consecutive days of a 4 week cycle. Table 2 presents all adverse events regardless of causality occurring in at least 5% of patients. </w:t>
      </w:r>
    </w:p>
    <w:p w:rsidR="00285196" w:rsidRPr="00285196" w:rsidRDefault="00285196" w:rsidP="00285196">
      <w:pPr>
        <w:spacing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t>Table 2 Adverse Events Reported in ≥ 5% of Patients in a Single-arm Study*</w:t>
      </w:r>
    </w:p>
    <w:tbl>
      <w:tblPr>
        <w:tblW w:w="0" w:type="auto"/>
        <w:tblCellMar>
          <w:left w:w="0" w:type="dxa"/>
          <w:right w:w="0" w:type="dxa"/>
        </w:tblCellMar>
        <w:tblLook w:val="04A0" w:firstRow="1" w:lastRow="0" w:firstColumn="1" w:lastColumn="0" w:noHBand="0" w:noVBand="1"/>
      </w:tblPr>
      <w:tblGrid>
        <w:gridCol w:w="5080"/>
        <w:gridCol w:w="1767"/>
      </w:tblGrid>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Decitabine For </w:t>
            </w:r>
            <w:r w:rsidRPr="00285196">
              <w:rPr>
                <w:rFonts w:ascii="inherit" w:eastAsia="Times New Roman" w:hAnsi="inherit" w:cs="Times New Roman"/>
                <w:b/>
                <w:bCs/>
                <w:sz w:val="24"/>
                <w:szCs w:val="24"/>
                <w:bdr w:val="none" w:sz="0" w:space="0" w:color="auto" w:frame="1"/>
                <w:lang w:eastAsia="tr-TR"/>
              </w:rPr>
              <w:br/>
              <w:t>Injection</w:t>
            </w:r>
            <w:r w:rsidRPr="00285196">
              <w:rPr>
                <w:rFonts w:ascii="inherit" w:eastAsia="Times New Roman" w:hAnsi="inherit" w:cs="Times New Roman"/>
                <w:b/>
                <w:bCs/>
                <w:sz w:val="24"/>
                <w:szCs w:val="24"/>
                <w:bdr w:val="none" w:sz="0" w:space="0" w:color="auto" w:frame="1"/>
                <w:lang w:eastAsia="tr-TR"/>
              </w:rPr>
              <w:br/>
              <w:t>N = 99 (%)</w:t>
            </w:r>
          </w:p>
        </w:tc>
      </w:tr>
      <w:tr w:rsidR="00285196" w:rsidRPr="00285196" w:rsidTr="00285196">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Blood and lymphatic system disorders</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Anemia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31 (31%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Febrile neutropenia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20 (20%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Leukopenia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6(6%)</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Neutropenia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38 (38%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Pancytopenia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5(5%)</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Thrombocythemia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5(5%)</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Thrombocytopenia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27 (27% )</w:t>
            </w:r>
          </w:p>
        </w:tc>
      </w:tr>
      <w:tr w:rsidR="00285196" w:rsidRPr="00285196" w:rsidTr="00285196">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Cardiac disorders</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Cardiac failure congestive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(5%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Tachycardia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8(8%)</w:t>
            </w:r>
          </w:p>
        </w:tc>
      </w:tr>
      <w:tr w:rsidR="00285196" w:rsidRPr="00285196" w:rsidTr="00285196">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Ear and labyrinth disorders</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Ear pain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(6% )</w:t>
            </w:r>
          </w:p>
        </w:tc>
      </w:tr>
      <w:tr w:rsidR="00285196" w:rsidRPr="00285196" w:rsidTr="00285196">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Gastrointestinal disorders</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Abdominal pain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14 (14%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Abdominal pain upper</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(6%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Constipation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30 (30%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Diarrhea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28 (28%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Dyspepsia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10 (10%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Dysphagia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5(5%)</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Gastro-esophageal reflux disease</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(5%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Nausea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40 (40%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Oral pain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(5%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Stomatitis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11 (11%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Toothache</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6(6%)</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Vomiting</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16 (16% )</w:t>
            </w:r>
          </w:p>
        </w:tc>
      </w:tr>
      <w:tr w:rsidR="00285196" w:rsidRPr="00285196" w:rsidTr="00285196">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General disorders and administration site conditions</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Asthenia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15 (15%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Chest pain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(6%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Chills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16 (16%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Fatigue</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46 (46%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Mucosal inflammation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 (9%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Edema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5(5%)</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Edema peripheral</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27 (27%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Pain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5(5%)</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Pyrexia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36 (36% )</w:t>
            </w:r>
          </w:p>
        </w:tc>
      </w:tr>
      <w:tr w:rsidR="00285196" w:rsidRPr="00285196" w:rsidTr="00285196">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Infections and infestations</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Cellulitis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9(9%)</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Oral candidiasis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(6%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Pneumonia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20 (20%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Sinusitis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6(6%)</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Staphylococcal bacteremia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(8%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Tooth abscess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(5%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Upper respiratory tract infection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10 (10%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Urinary tract infection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 (7% )</w:t>
            </w:r>
          </w:p>
        </w:tc>
      </w:tr>
      <w:tr w:rsidR="00285196" w:rsidRPr="00285196" w:rsidTr="00285196">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Injury, poisoning and procedural complications</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Contusion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9(9%)</w:t>
            </w:r>
          </w:p>
        </w:tc>
      </w:tr>
      <w:tr w:rsidR="00285196" w:rsidRPr="00285196" w:rsidTr="00285196">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Investigations</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Blood bilirubin increased</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(6%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Breath sounds abnormal</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(5%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Weight decreased</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 (9%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Metabolism and nutrition disorders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Anorexia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23 (23%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Decreased appetite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(8%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Dehydration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8(8%)</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Hyperglycemia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6(6%)</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Hypokalemia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12 (12%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Hypomagnesemia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5(5%)</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Musculoskeletal and connective tissue disorders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Arthralgia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17 (17%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Back pain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18 (18%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Bone pain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(6%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Muscle spasms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 (7%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Muscular weakness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(5%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Musculoskeletal pain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(5%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Myalgia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9(9%)</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Pain in extremity</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18 (18%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Nervous system disorders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Dizziness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21 (21%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Headache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23 (23%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Psychiatric disorders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Anxiety</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9(9%)</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Confusional state</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(8%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Depression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9(9%)</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Insomnia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14 (14%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Respiratory, thoracic and mediastinal disorders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Cough</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27 (27%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Dyspnea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29 (29%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Epistaxis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13 (13%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Pharyngolaryngeal pain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(8%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Pleural effusion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(5%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Sinus congestion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(5%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Skin and subcutaneous tissue disorders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Dry skin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(8%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Ecchymosis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9(9%)</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Erythema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5(5%)</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Night sweats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(5%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Petechiae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12 (12%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Pruritus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9(9%)</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Rash</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11 (11%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Skin lesion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 (5%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Vascular disorders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Hypertension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6(6%)</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Hypotension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11 (11% )</w:t>
            </w:r>
          </w:p>
        </w:tc>
      </w:tr>
    </w:tbl>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 In this single arm study, investigators reported adverse events based on clinical signs and symptoms rather than predefined laboratory abnormalities. Thus not all laboratory abnormalities were recorded as adverse events. </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proofErr w:type="gramStart"/>
      <w:r w:rsidRPr="00285196">
        <w:rPr>
          <w:rFonts w:ascii="inherit" w:eastAsia="Times New Roman" w:hAnsi="inherit" w:cs="Arial"/>
          <w:color w:val="222222"/>
          <w:sz w:val="21"/>
          <w:szCs w:val="21"/>
          <w:lang w:eastAsia="tr-TR"/>
        </w:rPr>
        <w:t>Discussion of Clinically Important Adverse Reactions In the single-arm study (N=99) when decitabine for injection was dosed at 20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 xml:space="preserve">intravenous, infused over one hour daily for 5 consecutive days, the highest incidence of Grade 3 or Grade 4 adverse events were neutropenia (37%), thrombocytopenia (24%) and anemia (22%). </w:t>
      </w:r>
      <w:proofErr w:type="gramEnd"/>
      <w:r w:rsidRPr="00285196">
        <w:rPr>
          <w:rFonts w:ascii="inherit" w:eastAsia="Times New Roman" w:hAnsi="inherit" w:cs="Arial"/>
          <w:color w:val="222222"/>
          <w:sz w:val="21"/>
          <w:szCs w:val="21"/>
          <w:lang w:eastAsia="tr-TR"/>
        </w:rPr>
        <w:t>Seventy-eight percent of patients had dose delays, the median duration of this delay was 7 days and the largest percentage of delays were due to hematologic toxicities. Hematologic toxicities and infections were the most frequent causes of dose delays and discontinuation. Eight patients had fatal events due to infection and/or bleeding (seven of which occurred in the clinical setting of myelosuppression) that were considered at least possibly related to drug treatment. Nineteen of 99 patients permanently discontinued therapy for adverse events.  </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No overall difference in safety was detected between patients &gt; 65 years of age and younger patients in these myelodysplasia trials. No significant gender differences in safety or efficacy were detected. Patients with renal or hepatic dysfunction were not studied. Insufficient numbers of non-white patients were available to draw conclusions in these clinical trials.</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Serious Adverse Events that occurred in patients receiving decitabine for injection regardless of causality, not previously reported in </w:t>
      </w:r>
      <w:r w:rsidRPr="00285196">
        <w:rPr>
          <w:rFonts w:ascii="inherit" w:eastAsia="Times New Roman" w:hAnsi="inherit" w:cs="Arial"/>
          <w:b/>
          <w:bCs/>
          <w:color w:val="222222"/>
          <w:sz w:val="21"/>
          <w:szCs w:val="21"/>
          <w:bdr w:val="none" w:sz="0" w:space="0" w:color="auto" w:frame="1"/>
          <w:lang w:eastAsia="tr-TR"/>
        </w:rPr>
        <w:t>Tables 1 and 2 </w:t>
      </w:r>
      <w:r w:rsidRPr="00285196">
        <w:rPr>
          <w:rFonts w:ascii="inherit" w:eastAsia="Times New Roman" w:hAnsi="inherit" w:cs="Arial"/>
          <w:color w:val="222222"/>
          <w:sz w:val="21"/>
          <w:szCs w:val="21"/>
          <w:lang w:eastAsia="tr-TR"/>
        </w:rPr>
        <w:t>include:</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Blood and Lymphatic System Disorders: myelosuppression, splenomegaly.</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Cardiac Disorders: myocardial infarction, cardio-respiratory arrest, cardiomyopathy, atrial fibrillation, supraventricular tachycardia.</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Gastrointestinal Disorders: gingival pain, upper gastrointestinal hemorrhage.</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General Disorders and Administrative Site Conditions: chest pain, catheter site hemorrhage.</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Hepatobiliary Disorders: cholecystitis.</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Infections and Infestations: fungal infection, sepsis, bronchopulmonary aspergillosis, peridiverticular abscess, respiratory tract infection, pseudomonal lung infection, Mycobacterium avium complex infection.</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Injury, Poisoning and Procedural Complications: post procedural pain, post procedural hemorrhage.</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Nervous System Disorders: intracranial hemorrhage.</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Psychiatric Disorders: mental status changes.</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Renal and Urinary Disorders: renal failure, urethral hemorrhage.</w:t>
      </w:r>
    </w:p>
    <w:p w:rsidR="00285196" w:rsidRPr="00285196" w:rsidRDefault="00285196" w:rsidP="00285196">
      <w:pPr>
        <w:numPr>
          <w:ilvl w:val="1"/>
          <w:numId w:val="12"/>
        </w:numPr>
        <w:spacing w:before="100" w:beforeAutospacing="1" w:after="10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Respiratory, Thoracic and Mediastinal Disorders: hemoptysis, lung infiltration, pulmonary embolism, respiratory arrest, pulmonary mass.</w:t>
      </w:r>
    </w:p>
    <w:p w:rsidR="00285196" w:rsidRPr="00285196" w:rsidRDefault="00285196" w:rsidP="00285196">
      <w:pPr>
        <w:numPr>
          <w:ilvl w:val="1"/>
          <w:numId w:val="12"/>
        </w:numPr>
        <w:spacing w:beforeAutospacing="1" w:after="0" w:afterAutospacing="1" w:line="240" w:lineRule="auto"/>
        <w:ind w:left="971" w:right="521"/>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Allergic Reaction: Hypersensitivity (anaphylactic reaction) to decitabine for injection has been reported in a Phase 2 trial.</w:t>
      </w:r>
    </w:p>
    <w:p w:rsidR="00285196" w:rsidRPr="00285196" w:rsidRDefault="00285196" w:rsidP="00285196">
      <w:pPr>
        <w:spacing w:after="0" w:line="270" w:lineRule="atLeast"/>
        <w:ind w:left="600" w:right="150"/>
        <w:textAlignment w:val="baseline"/>
        <w:outlineLvl w:val="1"/>
        <w:rPr>
          <w:rFonts w:ascii="inherit" w:eastAsia="Times New Roman" w:hAnsi="inherit" w:cs="Arial"/>
          <w:b/>
          <w:bCs/>
          <w:color w:val="222222"/>
          <w:sz w:val="36"/>
          <w:szCs w:val="36"/>
          <w:lang w:eastAsia="tr-TR"/>
        </w:rPr>
      </w:pPr>
      <w:bookmarkStart w:id="31" w:name="_1cc62620-19e6-5a47-3391-dd88dd84e3dc"/>
      <w:bookmarkStart w:id="32" w:name="section-10.2"/>
      <w:bookmarkEnd w:id="31"/>
      <w:bookmarkEnd w:id="32"/>
      <w:r w:rsidRPr="00285196">
        <w:rPr>
          <w:rFonts w:ascii="inherit" w:eastAsia="Times New Roman" w:hAnsi="inherit" w:cs="Arial"/>
          <w:b/>
          <w:bCs/>
          <w:color w:val="222222"/>
          <w:sz w:val="36"/>
          <w:szCs w:val="36"/>
          <w:bdr w:val="none" w:sz="0" w:space="0" w:color="auto" w:frame="1"/>
          <w:lang w:eastAsia="tr-TR"/>
        </w:rPr>
        <w:t>6.2 Post-</w:t>
      </w:r>
      <w:proofErr w:type="gramStart"/>
      <w:r w:rsidRPr="00285196">
        <w:rPr>
          <w:rFonts w:ascii="inherit" w:eastAsia="Times New Roman" w:hAnsi="inherit" w:cs="Arial"/>
          <w:b/>
          <w:bCs/>
          <w:color w:val="222222"/>
          <w:sz w:val="36"/>
          <w:szCs w:val="36"/>
          <w:bdr w:val="none" w:sz="0" w:space="0" w:color="auto" w:frame="1"/>
          <w:lang w:eastAsia="tr-TR"/>
        </w:rPr>
        <w:t>marketing</w:t>
      </w:r>
      <w:proofErr w:type="gramEnd"/>
      <w:r w:rsidRPr="00285196">
        <w:rPr>
          <w:rFonts w:ascii="inherit" w:eastAsia="Times New Roman" w:hAnsi="inherit" w:cs="Arial"/>
          <w:b/>
          <w:bCs/>
          <w:color w:val="222222"/>
          <w:sz w:val="36"/>
          <w:szCs w:val="36"/>
          <w:bdr w:val="none" w:sz="0" w:space="0" w:color="auto" w:frame="1"/>
          <w:lang w:eastAsia="tr-TR"/>
        </w:rPr>
        <w:t xml:space="preserve"> Experience</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The following adverse reactions have been identified during post-approval use of decitabine for injection. Because these reactions are reported voluntarily from a population of uncertain size, it is not always possible to reliably estimate their frequency or establish a causal relationship to drug exposure. Cases of Sweet’s Syndrome (acute febrile neutrophilic dermatosis) have been reported.</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12"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113" w:history="1">
        <w:r w:rsidRPr="00285196">
          <w:rPr>
            <w:rFonts w:ascii="Arial" w:eastAsia="Times New Roman" w:hAnsi="Arial" w:cs="Arial"/>
            <w:caps/>
            <w:color w:val="000000"/>
            <w:sz w:val="30"/>
            <w:szCs w:val="30"/>
            <w:u w:val="single"/>
            <w:bdr w:val="none" w:sz="0" w:space="0" w:color="auto" w:frame="1"/>
            <w:lang w:eastAsia="tr-TR"/>
          </w:rPr>
          <w:t>7 DRUG INTERACTIONS</w:t>
        </w:r>
      </w:hyperlink>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bookmarkStart w:id="33" w:name="DRUG_INTERACTIONS"/>
      <w:bookmarkStart w:id="34" w:name="section-11"/>
      <w:bookmarkEnd w:id="33"/>
      <w:bookmarkEnd w:id="34"/>
      <w:r w:rsidRPr="00285196">
        <w:rPr>
          <w:rFonts w:ascii="inherit" w:eastAsia="Times New Roman" w:hAnsi="inherit" w:cs="Arial"/>
          <w:color w:val="222222"/>
          <w:sz w:val="21"/>
          <w:szCs w:val="21"/>
          <w:lang w:eastAsia="tr-TR"/>
        </w:rPr>
        <w:t>Drug interaction studies with decitabine have not been conducted. In vitro studies in human liver microsomes suggest that decitabine is unlikely to inhibit or induce cytochrome P450 enzymes. In vitro metabolism studies have suggested that decitabine is not a substrate for human liver cytochrome P450 enzymes. As plasma protein binding of decitabine is negligible (&lt;1%), interactions due to displacement of more highly protein bound drugs from plasma proteins are not expected</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14"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115" w:history="1">
        <w:r w:rsidRPr="00285196">
          <w:rPr>
            <w:rFonts w:ascii="Arial" w:eastAsia="Times New Roman" w:hAnsi="Arial" w:cs="Arial"/>
            <w:caps/>
            <w:color w:val="000000"/>
            <w:sz w:val="30"/>
            <w:szCs w:val="30"/>
            <w:u w:val="single"/>
            <w:bdr w:val="none" w:sz="0" w:space="0" w:color="auto" w:frame="1"/>
            <w:lang w:eastAsia="tr-TR"/>
          </w:rPr>
          <w:t>8 USE IN SPECIFIC POPULATIONS</w:t>
        </w:r>
      </w:hyperlink>
    </w:p>
    <w:p w:rsidR="00285196" w:rsidRPr="00285196" w:rsidRDefault="00285196" w:rsidP="00285196">
      <w:pPr>
        <w:spacing w:after="0" w:line="270" w:lineRule="atLeast"/>
        <w:ind w:left="600" w:right="150"/>
        <w:textAlignment w:val="baseline"/>
        <w:outlineLvl w:val="1"/>
        <w:rPr>
          <w:rFonts w:ascii="inherit" w:eastAsia="Times New Roman" w:hAnsi="inherit" w:cs="Arial"/>
          <w:b/>
          <w:bCs/>
          <w:color w:val="222222"/>
          <w:sz w:val="36"/>
          <w:szCs w:val="36"/>
          <w:lang w:eastAsia="tr-TR"/>
        </w:rPr>
      </w:pPr>
      <w:bookmarkStart w:id="35" w:name="USE_IN_SPECIFIC_POPULATIONS"/>
      <w:bookmarkStart w:id="36" w:name="section-12"/>
      <w:bookmarkStart w:id="37" w:name="PREGNANCY"/>
      <w:bookmarkStart w:id="38" w:name="section-12.1"/>
      <w:bookmarkEnd w:id="35"/>
      <w:bookmarkEnd w:id="36"/>
      <w:bookmarkEnd w:id="37"/>
      <w:bookmarkEnd w:id="38"/>
      <w:r w:rsidRPr="00285196">
        <w:rPr>
          <w:rFonts w:ascii="inherit" w:eastAsia="Times New Roman" w:hAnsi="inherit" w:cs="Arial"/>
          <w:b/>
          <w:bCs/>
          <w:color w:val="222222"/>
          <w:sz w:val="36"/>
          <w:szCs w:val="36"/>
          <w:bdr w:val="none" w:sz="0" w:space="0" w:color="auto" w:frame="1"/>
          <w:lang w:eastAsia="tr-TR"/>
        </w:rPr>
        <w:t>8.1 Pregnancy</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Pregnancy Category D [see </w:t>
      </w:r>
      <w:r w:rsidRPr="00285196">
        <w:rPr>
          <w:rFonts w:ascii="inherit" w:eastAsia="Times New Roman" w:hAnsi="inherit" w:cs="Arial"/>
          <w:b/>
          <w:bCs/>
          <w:color w:val="222222"/>
          <w:sz w:val="21"/>
          <w:szCs w:val="21"/>
          <w:bdr w:val="none" w:sz="0" w:space="0" w:color="auto" w:frame="1"/>
          <w:lang w:eastAsia="tr-TR"/>
        </w:rPr>
        <w:t>Warnings and Precautions (</w:t>
      </w:r>
      <w:hyperlink r:id="rId116" w:anchor="_e3fbdc13-1900-588b-14f4-d0ef87f9bee2" w:history="1">
        <w:proofErr w:type="gramStart"/>
        <w:r w:rsidRPr="00285196">
          <w:rPr>
            <w:rFonts w:ascii="Arial" w:eastAsia="Times New Roman" w:hAnsi="Arial" w:cs="Arial"/>
            <w:b/>
            <w:bCs/>
            <w:caps/>
            <w:color w:val="1D86BB"/>
            <w:sz w:val="21"/>
            <w:szCs w:val="21"/>
            <w:u w:val="single"/>
            <w:bdr w:val="none" w:sz="0" w:space="0" w:color="auto" w:frame="1"/>
            <w:lang w:eastAsia="tr-TR"/>
          </w:rPr>
          <w:t>5.2</w:t>
        </w:r>
        <w:proofErr w:type="gramEnd"/>
      </w:hyperlink>
      <w:r w:rsidRPr="00285196">
        <w:rPr>
          <w:rFonts w:ascii="inherit" w:eastAsia="Times New Roman" w:hAnsi="inherit" w:cs="Arial"/>
          <w:b/>
          <w:bCs/>
          <w:color w:val="222222"/>
          <w:sz w:val="21"/>
          <w:szCs w:val="21"/>
          <w:bdr w:val="none" w:sz="0" w:space="0" w:color="auto" w:frame="1"/>
          <w:lang w:eastAsia="tr-TR"/>
        </w:rPr>
        <w:t>)</w:t>
      </w:r>
      <w:r w:rsidRPr="00285196">
        <w:rPr>
          <w:rFonts w:ascii="inherit" w:eastAsia="Times New Roman" w:hAnsi="inherit" w:cs="Arial"/>
          <w:color w:val="222222"/>
          <w:sz w:val="21"/>
          <w:szCs w:val="21"/>
          <w:lang w:eastAsia="tr-TR"/>
        </w:rPr>
        <w:t>] </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 xml:space="preserve">Decitabine for injection can cause fetal harm when administered to a pregnant woman. There are no adequate and well-controlled studies of decitabine for injection in pregnant women. The developmental toxicity of decitabine was examined in mice exposed to single IP (intraperitoneal) injections (0, </w:t>
      </w:r>
      <w:proofErr w:type="gramStart"/>
      <w:r w:rsidRPr="00285196">
        <w:rPr>
          <w:rFonts w:ascii="inherit" w:eastAsia="Times New Roman" w:hAnsi="inherit" w:cs="Arial"/>
          <w:color w:val="222222"/>
          <w:sz w:val="21"/>
          <w:szCs w:val="21"/>
          <w:lang w:eastAsia="tr-TR"/>
        </w:rPr>
        <w:t>0.9</w:t>
      </w:r>
      <w:proofErr w:type="gramEnd"/>
      <w:r w:rsidRPr="00285196">
        <w:rPr>
          <w:rFonts w:ascii="inherit" w:eastAsia="Times New Roman" w:hAnsi="inherit" w:cs="Arial"/>
          <w:color w:val="222222"/>
          <w:sz w:val="21"/>
          <w:szCs w:val="21"/>
          <w:lang w:eastAsia="tr-TR"/>
        </w:rPr>
        <w:t xml:space="preserve"> and 3 mg/m</w:t>
      </w:r>
      <w:r w:rsidRPr="00285196">
        <w:rPr>
          <w:rFonts w:ascii="inherit" w:eastAsia="Times New Roman" w:hAnsi="inherit" w:cs="Arial"/>
          <w:color w:val="222222"/>
          <w:sz w:val="21"/>
          <w:szCs w:val="21"/>
          <w:bdr w:val="none" w:sz="0" w:space="0" w:color="auto" w:frame="1"/>
          <w:lang w:eastAsia="tr-TR"/>
        </w:rPr>
        <w:t>2</w:t>
      </w:r>
      <w:r w:rsidRPr="00285196">
        <w:rPr>
          <w:rFonts w:ascii="inherit" w:eastAsia="Times New Roman" w:hAnsi="inherit" w:cs="Arial"/>
          <w:color w:val="222222"/>
          <w:sz w:val="21"/>
          <w:szCs w:val="21"/>
          <w:lang w:eastAsia="tr-TR"/>
        </w:rPr>
        <w:t>, approximately 2% and 7% of the recommended daily clinical dose, respectively) over gestation days 8, 9, 10 or 11. No maternal toxicity was observed but reduced fetal survival was observed after treatment at 3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and decreased fetal weight was observed at both dose levels. The 3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 xml:space="preserve">dose elicited characteristic fetal defects for each treatment day, including supernumerary ribs (both dose levels), fused vertebrae and ribs, cleft palate, vertebral defects, hind-limb defects and digital defects of fore- and hind-limbs. In rats given a single IP injection of </w:t>
      </w:r>
      <w:proofErr w:type="gramStart"/>
      <w:r w:rsidRPr="00285196">
        <w:rPr>
          <w:rFonts w:ascii="inherit" w:eastAsia="Times New Roman" w:hAnsi="inherit" w:cs="Arial"/>
          <w:color w:val="222222"/>
          <w:sz w:val="21"/>
          <w:szCs w:val="21"/>
          <w:lang w:eastAsia="tr-TR"/>
        </w:rPr>
        <w:t>2.4</w:t>
      </w:r>
      <w:proofErr w:type="gramEnd"/>
      <w:r w:rsidRPr="00285196">
        <w:rPr>
          <w:rFonts w:ascii="inherit" w:eastAsia="Times New Roman" w:hAnsi="inherit" w:cs="Arial"/>
          <w:color w:val="222222"/>
          <w:sz w:val="21"/>
          <w:szCs w:val="21"/>
          <w:lang w:eastAsia="tr-TR"/>
        </w:rPr>
        <w:t>, 3.6 or 6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 xml:space="preserve">(approximately 5, 8, or 13% the daily recommended clinical dose, respectively) on gestation days 9 to 12, no maternal toxicity was observed. No live fetuses were seen at any dose when decitabine was injected on gestation day 9. A significant decrease in fetal survival and reduced fetal weight at doses greater than </w:t>
      </w:r>
      <w:proofErr w:type="gramStart"/>
      <w:r w:rsidRPr="00285196">
        <w:rPr>
          <w:rFonts w:ascii="inherit" w:eastAsia="Times New Roman" w:hAnsi="inherit" w:cs="Arial"/>
          <w:color w:val="222222"/>
          <w:sz w:val="21"/>
          <w:szCs w:val="21"/>
          <w:lang w:eastAsia="tr-TR"/>
        </w:rPr>
        <w:t>3.6</w:t>
      </w:r>
      <w:proofErr w:type="gramEnd"/>
      <w:r w:rsidRPr="00285196">
        <w:rPr>
          <w:rFonts w:ascii="inherit" w:eastAsia="Times New Roman" w:hAnsi="inherit" w:cs="Arial"/>
          <w:color w:val="222222"/>
          <w:sz w:val="21"/>
          <w:szCs w:val="21"/>
          <w:lang w:eastAsia="tr-TR"/>
        </w:rPr>
        <w:t xml:space="preserve">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was seen when decitabine was given on gestation day 10. Increased incidences of vertebral and rib anomalies were seen at all dose levels, and induction of exophthalmia, exencephaly, and cleft palate were observed at 6 mg/m</w:t>
      </w:r>
      <w:r w:rsidRPr="00285196">
        <w:rPr>
          <w:rFonts w:ascii="inherit" w:eastAsia="Times New Roman" w:hAnsi="inherit" w:cs="Arial"/>
          <w:color w:val="222222"/>
          <w:sz w:val="21"/>
          <w:szCs w:val="21"/>
          <w:bdr w:val="none" w:sz="0" w:space="0" w:color="auto" w:frame="1"/>
          <w:lang w:eastAsia="tr-TR"/>
        </w:rPr>
        <w:t>2</w:t>
      </w:r>
      <w:r w:rsidRPr="00285196">
        <w:rPr>
          <w:rFonts w:ascii="inherit" w:eastAsia="Times New Roman" w:hAnsi="inherit" w:cs="Arial"/>
          <w:color w:val="222222"/>
          <w:sz w:val="21"/>
          <w:szCs w:val="21"/>
          <w:lang w:eastAsia="tr-TR"/>
        </w:rPr>
        <w:t xml:space="preserve">. Increased incidence of foredigit defects was seen in fetuses at doses greater than </w:t>
      </w:r>
      <w:proofErr w:type="gramStart"/>
      <w:r w:rsidRPr="00285196">
        <w:rPr>
          <w:rFonts w:ascii="inherit" w:eastAsia="Times New Roman" w:hAnsi="inherit" w:cs="Arial"/>
          <w:color w:val="222222"/>
          <w:sz w:val="21"/>
          <w:szCs w:val="21"/>
          <w:lang w:eastAsia="tr-TR"/>
        </w:rPr>
        <w:t>3.6</w:t>
      </w:r>
      <w:proofErr w:type="gramEnd"/>
      <w:r w:rsidRPr="00285196">
        <w:rPr>
          <w:rFonts w:ascii="inherit" w:eastAsia="Times New Roman" w:hAnsi="inherit" w:cs="Arial"/>
          <w:color w:val="222222"/>
          <w:sz w:val="21"/>
          <w:szCs w:val="21"/>
          <w:lang w:eastAsia="tr-TR"/>
        </w:rPr>
        <w:t xml:space="preserve"> mg/m</w:t>
      </w:r>
      <w:r w:rsidRPr="00285196">
        <w:rPr>
          <w:rFonts w:ascii="inherit" w:eastAsia="Times New Roman" w:hAnsi="inherit" w:cs="Arial"/>
          <w:color w:val="222222"/>
          <w:sz w:val="21"/>
          <w:szCs w:val="21"/>
          <w:bdr w:val="none" w:sz="0" w:space="0" w:color="auto" w:frame="1"/>
          <w:lang w:eastAsia="tr-TR"/>
        </w:rPr>
        <w:t>2</w:t>
      </w:r>
      <w:r w:rsidRPr="00285196">
        <w:rPr>
          <w:rFonts w:ascii="inherit" w:eastAsia="Times New Roman" w:hAnsi="inherit" w:cs="Arial"/>
          <w:color w:val="222222"/>
          <w:sz w:val="21"/>
          <w:szCs w:val="21"/>
          <w:lang w:eastAsia="tr-TR"/>
        </w:rPr>
        <w:t>. Reduced size and ossification of long bones of the fore-limb and hind-limb were noted at 6 mg/m</w:t>
      </w:r>
      <w:r w:rsidRPr="00285196">
        <w:rPr>
          <w:rFonts w:ascii="inherit" w:eastAsia="Times New Roman" w:hAnsi="inherit" w:cs="Arial"/>
          <w:color w:val="222222"/>
          <w:sz w:val="21"/>
          <w:szCs w:val="21"/>
          <w:bdr w:val="none" w:sz="0" w:space="0" w:color="auto" w:frame="1"/>
          <w:lang w:eastAsia="tr-TR"/>
        </w:rPr>
        <w:t>2</w:t>
      </w:r>
      <w:r w:rsidRPr="00285196">
        <w:rPr>
          <w:rFonts w:ascii="inherit" w:eastAsia="Times New Roman" w:hAnsi="inherit" w:cs="Arial"/>
          <w:color w:val="222222"/>
          <w:sz w:val="21"/>
          <w:szCs w:val="21"/>
          <w:lang w:eastAsia="tr-TR"/>
        </w:rPr>
        <w:t>. If this drug is used during pregnancy, or if the patient becomes pregnant while taking this drug, the patient should be apprised of the potential hazard to the fetus. Women of child bearing potential should be advised to avoid becoming pregnant while taking decitabine for injection.</w:t>
      </w:r>
    </w:p>
    <w:p w:rsidR="00285196" w:rsidRPr="00285196" w:rsidRDefault="00285196" w:rsidP="00285196">
      <w:pPr>
        <w:spacing w:after="48" w:line="270" w:lineRule="atLeast"/>
        <w:ind w:left="600" w:right="150"/>
        <w:textAlignment w:val="baseline"/>
        <w:outlineLvl w:val="1"/>
        <w:rPr>
          <w:rFonts w:ascii="inherit" w:eastAsia="Times New Roman" w:hAnsi="inherit" w:cs="Arial"/>
          <w:b/>
          <w:bCs/>
          <w:color w:val="222222"/>
          <w:sz w:val="36"/>
          <w:szCs w:val="36"/>
          <w:lang w:eastAsia="tr-TR"/>
        </w:rPr>
      </w:pPr>
      <w:bookmarkStart w:id="39" w:name="NURSING_MOTHERS"/>
      <w:bookmarkStart w:id="40" w:name="section-12.2"/>
      <w:bookmarkEnd w:id="39"/>
      <w:bookmarkEnd w:id="40"/>
      <w:r w:rsidRPr="00285196">
        <w:rPr>
          <w:rFonts w:ascii="inherit" w:eastAsia="Times New Roman" w:hAnsi="inherit" w:cs="Arial"/>
          <w:b/>
          <w:bCs/>
          <w:color w:val="222222"/>
          <w:sz w:val="36"/>
          <w:szCs w:val="36"/>
          <w:lang w:eastAsia="tr-TR"/>
        </w:rPr>
        <w:t>8.3 Nursing Mothers</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It is not known whether decitabine or its metabolites are excreted in human milk. Because many drugs are excreted in human milk, and because of the potential for serious adverse reactions from decitabine for injection in nursing infants, a decision should be made whether to discontinue nursing or to discontinue the drug, taking into account the importance of the drug to the mother.</w:t>
      </w:r>
    </w:p>
    <w:p w:rsidR="00285196" w:rsidRPr="00285196" w:rsidRDefault="00285196" w:rsidP="00285196">
      <w:pPr>
        <w:spacing w:after="48" w:line="270" w:lineRule="atLeast"/>
        <w:ind w:left="600" w:right="150"/>
        <w:textAlignment w:val="baseline"/>
        <w:outlineLvl w:val="1"/>
        <w:rPr>
          <w:rFonts w:ascii="inherit" w:eastAsia="Times New Roman" w:hAnsi="inherit" w:cs="Arial"/>
          <w:b/>
          <w:bCs/>
          <w:color w:val="222222"/>
          <w:sz w:val="36"/>
          <w:szCs w:val="36"/>
          <w:lang w:eastAsia="tr-TR"/>
        </w:rPr>
      </w:pPr>
      <w:bookmarkStart w:id="41" w:name="PEDIATRIC_USE"/>
      <w:bookmarkStart w:id="42" w:name="section-12.3"/>
      <w:bookmarkEnd w:id="41"/>
      <w:bookmarkEnd w:id="42"/>
      <w:r w:rsidRPr="00285196">
        <w:rPr>
          <w:rFonts w:ascii="inherit" w:eastAsia="Times New Roman" w:hAnsi="inherit" w:cs="Arial"/>
          <w:b/>
          <w:bCs/>
          <w:color w:val="222222"/>
          <w:sz w:val="36"/>
          <w:szCs w:val="36"/>
          <w:lang w:eastAsia="tr-TR"/>
        </w:rPr>
        <w:t>8.4 Pediatric Use</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The safety and effectiveness of decitabine for injection in pediatric patients have not been established</w:t>
      </w:r>
    </w:p>
    <w:p w:rsidR="00285196" w:rsidRPr="00285196" w:rsidRDefault="00285196" w:rsidP="00285196">
      <w:pPr>
        <w:spacing w:after="48" w:line="270" w:lineRule="atLeast"/>
        <w:ind w:left="600" w:right="150"/>
        <w:textAlignment w:val="baseline"/>
        <w:outlineLvl w:val="1"/>
        <w:rPr>
          <w:rFonts w:ascii="inherit" w:eastAsia="Times New Roman" w:hAnsi="inherit" w:cs="Arial"/>
          <w:b/>
          <w:bCs/>
          <w:color w:val="222222"/>
          <w:sz w:val="36"/>
          <w:szCs w:val="36"/>
          <w:lang w:eastAsia="tr-TR"/>
        </w:rPr>
      </w:pPr>
      <w:bookmarkStart w:id="43" w:name="GERIATRIC_USE"/>
      <w:bookmarkStart w:id="44" w:name="section-12.4"/>
      <w:bookmarkEnd w:id="43"/>
      <w:bookmarkEnd w:id="44"/>
      <w:r w:rsidRPr="00285196">
        <w:rPr>
          <w:rFonts w:ascii="inherit" w:eastAsia="Times New Roman" w:hAnsi="inherit" w:cs="Arial"/>
          <w:b/>
          <w:bCs/>
          <w:color w:val="222222"/>
          <w:sz w:val="36"/>
          <w:szCs w:val="36"/>
          <w:lang w:eastAsia="tr-TR"/>
        </w:rPr>
        <w:t>8.5 Geriatric Use</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Of the total number of patients exposed to decitabine for injection in the controlled clinical trial, 61 of 83 patients were age 65 and over, while 21 of 83 patients were age 75 and over. No overall differences in safety or effectiveness were observed between these subjects and younger subjects, and other reported clinical experience has not identified differences in responses between the elderly and younger patients, but greater sensitivity of some older individuals cannot be ruled out.</w:t>
      </w:r>
    </w:p>
    <w:p w:rsidR="00285196" w:rsidRPr="00285196" w:rsidRDefault="00285196" w:rsidP="00285196">
      <w:pPr>
        <w:spacing w:after="0" w:line="270" w:lineRule="atLeast"/>
        <w:ind w:left="600" w:right="150"/>
        <w:textAlignment w:val="baseline"/>
        <w:outlineLvl w:val="1"/>
        <w:rPr>
          <w:rFonts w:ascii="inherit" w:eastAsia="Times New Roman" w:hAnsi="inherit" w:cs="Arial"/>
          <w:b/>
          <w:bCs/>
          <w:color w:val="222222"/>
          <w:sz w:val="36"/>
          <w:szCs w:val="36"/>
          <w:lang w:eastAsia="tr-TR"/>
        </w:rPr>
      </w:pPr>
      <w:bookmarkStart w:id="45" w:name="_9beede8f-06c3-048a-8b63-8906ff8d8b8b"/>
      <w:bookmarkStart w:id="46" w:name="section-12.5"/>
      <w:bookmarkEnd w:id="45"/>
      <w:bookmarkEnd w:id="46"/>
      <w:r w:rsidRPr="00285196">
        <w:rPr>
          <w:rFonts w:ascii="inherit" w:eastAsia="Times New Roman" w:hAnsi="inherit" w:cs="Arial"/>
          <w:b/>
          <w:bCs/>
          <w:color w:val="222222"/>
          <w:sz w:val="36"/>
          <w:szCs w:val="36"/>
          <w:bdr w:val="none" w:sz="0" w:space="0" w:color="auto" w:frame="1"/>
          <w:lang w:eastAsia="tr-TR"/>
        </w:rPr>
        <w:t>8.6 Renal Impairment</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 xml:space="preserve">There are no </w:t>
      </w:r>
      <w:proofErr w:type="gramStart"/>
      <w:r w:rsidRPr="00285196">
        <w:rPr>
          <w:rFonts w:ascii="inherit" w:eastAsia="Times New Roman" w:hAnsi="inherit" w:cs="Arial"/>
          <w:color w:val="222222"/>
          <w:sz w:val="21"/>
          <w:szCs w:val="21"/>
          <w:lang w:eastAsia="tr-TR"/>
        </w:rPr>
        <w:t>data</w:t>
      </w:r>
      <w:proofErr w:type="gramEnd"/>
      <w:r w:rsidRPr="00285196">
        <w:rPr>
          <w:rFonts w:ascii="inherit" w:eastAsia="Times New Roman" w:hAnsi="inherit" w:cs="Arial"/>
          <w:color w:val="222222"/>
          <w:sz w:val="21"/>
          <w:szCs w:val="21"/>
          <w:lang w:eastAsia="tr-TR"/>
        </w:rPr>
        <w:t xml:space="preserve"> on the use of decitabine for injection in patients with renal dysfunction; therefore, decitabine for injection should be used with caution in these patients.</w:t>
      </w:r>
    </w:p>
    <w:p w:rsidR="00285196" w:rsidRPr="00285196" w:rsidRDefault="00285196" w:rsidP="00285196">
      <w:pPr>
        <w:spacing w:after="0" w:line="270" w:lineRule="atLeast"/>
        <w:ind w:left="600" w:right="150"/>
        <w:textAlignment w:val="baseline"/>
        <w:outlineLvl w:val="1"/>
        <w:rPr>
          <w:rFonts w:ascii="inherit" w:eastAsia="Times New Roman" w:hAnsi="inherit" w:cs="Arial"/>
          <w:b/>
          <w:bCs/>
          <w:color w:val="222222"/>
          <w:sz w:val="36"/>
          <w:szCs w:val="36"/>
          <w:lang w:eastAsia="tr-TR"/>
        </w:rPr>
      </w:pPr>
      <w:bookmarkStart w:id="47" w:name="_498042fe-ec4b-e098-b333-619d4e7f46ac"/>
      <w:bookmarkStart w:id="48" w:name="section-12.6"/>
      <w:bookmarkEnd w:id="47"/>
      <w:bookmarkEnd w:id="48"/>
      <w:r w:rsidRPr="00285196">
        <w:rPr>
          <w:rFonts w:ascii="inherit" w:eastAsia="Times New Roman" w:hAnsi="inherit" w:cs="Arial"/>
          <w:b/>
          <w:bCs/>
          <w:color w:val="222222"/>
          <w:sz w:val="36"/>
          <w:szCs w:val="36"/>
          <w:bdr w:val="none" w:sz="0" w:space="0" w:color="auto" w:frame="1"/>
          <w:lang w:eastAsia="tr-TR"/>
        </w:rPr>
        <w:t>8.7 Hepatic Impairment</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 xml:space="preserve">There are no </w:t>
      </w:r>
      <w:proofErr w:type="gramStart"/>
      <w:r w:rsidRPr="00285196">
        <w:rPr>
          <w:rFonts w:ascii="inherit" w:eastAsia="Times New Roman" w:hAnsi="inherit" w:cs="Arial"/>
          <w:color w:val="222222"/>
          <w:sz w:val="21"/>
          <w:szCs w:val="21"/>
          <w:lang w:eastAsia="tr-TR"/>
        </w:rPr>
        <w:t>data</w:t>
      </w:r>
      <w:proofErr w:type="gramEnd"/>
      <w:r w:rsidRPr="00285196">
        <w:rPr>
          <w:rFonts w:ascii="inherit" w:eastAsia="Times New Roman" w:hAnsi="inherit" w:cs="Arial"/>
          <w:color w:val="222222"/>
          <w:sz w:val="21"/>
          <w:szCs w:val="21"/>
          <w:lang w:eastAsia="tr-TR"/>
        </w:rPr>
        <w:t xml:space="preserve"> on the use of decitabine for injection in patients with hepatic dysfunction; therefore, decitabine for injection should be used with caution in these patients.</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17"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118" w:history="1">
        <w:r w:rsidRPr="00285196">
          <w:rPr>
            <w:rFonts w:ascii="Arial" w:eastAsia="Times New Roman" w:hAnsi="Arial" w:cs="Arial"/>
            <w:caps/>
            <w:color w:val="000000"/>
            <w:sz w:val="30"/>
            <w:szCs w:val="30"/>
            <w:u w:val="single"/>
            <w:bdr w:val="none" w:sz="0" w:space="0" w:color="auto" w:frame="1"/>
            <w:lang w:eastAsia="tr-TR"/>
          </w:rPr>
          <w:t>10 OVERDOSAGE</w:t>
        </w:r>
      </w:hyperlink>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bookmarkStart w:id="49" w:name="OVERDOSAGE"/>
      <w:bookmarkStart w:id="50" w:name="section-13"/>
      <w:bookmarkEnd w:id="49"/>
      <w:bookmarkEnd w:id="50"/>
      <w:r w:rsidRPr="00285196">
        <w:rPr>
          <w:rFonts w:ascii="inherit" w:eastAsia="Times New Roman" w:hAnsi="inherit" w:cs="Arial"/>
          <w:color w:val="222222"/>
          <w:sz w:val="21"/>
          <w:szCs w:val="21"/>
          <w:lang w:eastAsia="tr-TR"/>
        </w:rPr>
        <w:t>There is no known antidote for overdosage with decitabine for injection. Higher doses are associated with increased myelosuppression including prolonged neutropenia and thrombocytopenia. Standard supportive measures should be taken in the event of an overdose.</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19"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120" w:history="1">
        <w:r w:rsidRPr="00285196">
          <w:rPr>
            <w:rFonts w:ascii="Arial" w:eastAsia="Times New Roman" w:hAnsi="Arial" w:cs="Arial"/>
            <w:caps/>
            <w:color w:val="000000"/>
            <w:sz w:val="30"/>
            <w:szCs w:val="30"/>
            <w:u w:val="single"/>
            <w:bdr w:val="none" w:sz="0" w:space="0" w:color="auto" w:frame="1"/>
            <w:lang w:eastAsia="tr-TR"/>
          </w:rPr>
          <w:t>11 DESCRIPTION</w:t>
        </w:r>
      </w:hyperlink>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bookmarkStart w:id="51" w:name="DESCRIPTION"/>
      <w:bookmarkStart w:id="52" w:name="section-14"/>
      <w:bookmarkEnd w:id="51"/>
      <w:bookmarkEnd w:id="52"/>
      <w:r w:rsidRPr="00285196">
        <w:rPr>
          <w:rFonts w:ascii="inherit" w:eastAsia="Times New Roman" w:hAnsi="inherit" w:cs="Arial"/>
          <w:color w:val="222222"/>
          <w:sz w:val="21"/>
          <w:szCs w:val="21"/>
          <w:lang w:eastAsia="tr-TR"/>
        </w:rPr>
        <w:t>Decitabine for injection contains decitabine (5-aza-2’deoxycitidine), an analogue of the natural nucleoside 2’-deoxycytidine. Decitabine is a white to off white coloured powder with the molecular formula of C</w:t>
      </w:r>
      <w:r w:rsidRPr="00285196">
        <w:rPr>
          <w:rFonts w:ascii="inherit" w:eastAsia="Times New Roman" w:hAnsi="inherit" w:cs="Arial"/>
          <w:color w:val="222222"/>
          <w:sz w:val="17"/>
          <w:szCs w:val="17"/>
          <w:bdr w:val="none" w:sz="0" w:space="0" w:color="auto" w:frame="1"/>
          <w:lang w:eastAsia="tr-TR"/>
        </w:rPr>
        <w:t>8</w:t>
      </w:r>
      <w:r w:rsidRPr="00285196">
        <w:rPr>
          <w:rFonts w:ascii="inherit" w:eastAsia="Times New Roman" w:hAnsi="inherit" w:cs="Arial"/>
          <w:color w:val="222222"/>
          <w:sz w:val="21"/>
          <w:szCs w:val="21"/>
          <w:lang w:eastAsia="tr-TR"/>
        </w:rPr>
        <w:t>H</w:t>
      </w:r>
      <w:r w:rsidRPr="00285196">
        <w:rPr>
          <w:rFonts w:ascii="inherit" w:eastAsia="Times New Roman" w:hAnsi="inherit" w:cs="Arial"/>
          <w:color w:val="222222"/>
          <w:sz w:val="17"/>
          <w:szCs w:val="17"/>
          <w:bdr w:val="none" w:sz="0" w:space="0" w:color="auto" w:frame="1"/>
          <w:lang w:eastAsia="tr-TR"/>
        </w:rPr>
        <w:t>12</w:t>
      </w:r>
      <w:r w:rsidRPr="00285196">
        <w:rPr>
          <w:rFonts w:ascii="inherit" w:eastAsia="Times New Roman" w:hAnsi="inherit" w:cs="Arial"/>
          <w:color w:val="222222"/>
          <w:sz w:val="21"/>
          <w:szCs w:val="21"/>
          <w:lang w:eastAsia="tr-TR"/>
        </w:rPr>
        <w:t>N</w:t>
      </w:r>
      <w:r w:rsidRPr="00285196">
        <w:rPr>
          <w:rFonts w:ascii="inherit" w:eastAsia="Times New Roman" w:hAnsi="inherit" w:cs="Arial"/>
          <w:color w:val="222222"/>
          <w:sz w:val="17"/>
          <w:szCs w:val="17"/>
          <w:bdr w:val="none" w:sz="0" w:space="0" w:color="auto" w:frame="1"/>
          <w:lang w:eastAsia="tr-TR"/>
        </w:rPr>
        <w:t>4</w:t>
      </w:r>
      <w:r w:rsidRPr="00285196">
        <w:rPr>
          <w:rFonts w:ascii="inherit" w:eastAsia="Times New Roman" w:hAnsi="inherit" w:cs="Arial"/>
          <w:color w:val="222222"/>
          <w:sz w:val="21"/>
          <w:szCs w:val="21"/>
          <w:lang w:eastAsia="tr-TR"/>
        </w:rPr>
        <w:t>O</w:t>
      </w:r>
      <w:r w:rsidRPr="00285196">
        <w:rPr>
          <w:rFonts w:ascii="inherit" w:eastAsia="Times New Roman" w:hAnsi="inherit" w:cs="Arial"/>
          <w:color w:val="222222"/>
          <w:sz w:val="17"/>
          <w:szCs w:val="17"/>
          <w:bdr w:val="none" w:sz="0" w:space="0" w:color="auto" w:frame="1"/>
          <w:lang w:eastAsia="tr-TR"/>
        </w:rPr>
        <w:t>4</w:t>
      </w:r>
      <w:r w:rsidRPr="00285196">
        <w:rPr>
          <w:rFonts w:ascii="inherit" w:eastAsia="Times New Roman" w:hAnsi="inherit" w:cs="Arial"/>
          <w:color w:val="222222"/>
          <w:sz w:val="21"/>
          <w:szCs w:val="21"/>
          <w:lang w:eastAsia="tr-TR"/>
        </w:rPr>
        <w:t xml:space="preserve"> and a molecular weight of </w:t>
      </w:r>
      <w:proofErr w:type="gramStart"/>
      <w:r w:rsidRPr="00285196">
        <w:rPr>
          <w:rFonts w:ascii="inherit" w:eastAsia="Times New Roman" w:hAnsi="inherit" w:cs="Arial"/>
          <w:color w:val="222222"/>
          <w:sz w:val="21"/>
          <w:szCs w:val="21"/>
          <w:lang w:eastAsia="tr-TR"/>
        </w:rPr>
        <w:t>228.21</w:t>
      </w:r>
      <w:proofErr w:type="gramEnd"/>
      <w:r w:rsidRPr="00285196">
        <w:rPr>
          <w:rFonts w:ascii="inherit" w:eastAsia="Times New Roman" w:hAnsi="inherit" w:cs="Arial"/>
          <w:color w:val="222222"/>
          <w:sz w:val="21"/>
          <w:szCs w:val="21"/>
          <w:lang w:eastAsia="tr-TR"/>
        </w:rPr>
        <w:t>. Its chemical name is 4-amino-1-(2-deoxy-β-D-erythro-pentofuranosyl)-1,3,5-triazin2(1H)-one and it has the following structural formula:</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noProof/>
          <w:color w:val="222222"/>
          <w:sz w:val="21"/>
          <w:szCs w:val="21"/>
          <w:lang w:eastAsia="tr-TR"/>
        </w:rPr>
        <w:drawing>
          <wp:inline distT="0" distB="0" distL="0" distR="0" wp14:anchorId="40066B93" wp14:editId="5159C1D0">
            <wp:extent cx="2600325" cy="2581275"/>
            <wp:effectExtent l="0" t="0" r="9525" b="9525"/>
            <wp:docPr id="4" name="Resim 4" descr="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descr="structure"/>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2600325" cy="2581275"/>
                    </a:xfrm>
                    <a:prstGeom prst="rect">
                      <a:avLst/>
                    </a:prstGeom>
                    <a:noFill/>
                    <a:ln>
                      <a:noFill/>
                    </a:ln>
                  </pic:spPr>
                </pic:pic>
              </a:graphicData>
            </a:graphic>
          </wp:inline>
        </w:drawing>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Decitabine is soluble in dimethyl sulphoxide and sparingly soluble in water.</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 xml:space="preserve">Decitabine for injection is a white to almost white </w:t>
      </w:r>
      <w:proofErr w:type="gramStart"/>
      <w:r w:rsidRPr="00285196">
        <w:rPr>
          <w:rFonts w:ascii="inherit" w:eastAsia="Times New Roman" w:hAnsi="inherit" w:cs="Arial"/>
          <w:color w:val="222222"/>
          <w:sz w:val="21"/>
          <w:szCs w:val="21"/>
          <w:lang w:eastAsia="tr-TR"/>
        </w:rPr>
        <w:t>sterile</w:t>
      </w:r>
      <w:proofErr w:type="gramEnd"/>
      <w:r w:rsidRPr="00285196">
        <w:rPr>
          <w:rFonts w:ascii="inherit" w:eastAsia="Times New Roman" w:hAnsi="inherit" w:cs="Arial"/>
          <w:color w:val="222222"/>
          <w:sz w:val="21"/>
          <w:szCs w:val="21"/>
          <w:lang w:eastAsia="tr-TR"/>
        </w:rPr>
        <w:t xml:space="preserve"> lyophilized powder supplied in a clear colorless glass vial. Each 20 mL, single dose, glass vial contains 50 mg decitabine, 68 mg monobasic potassium phosphate (potassium dihydrogen phosphate) and </w:t>
      </w:r>
      <w:proofErr w:type="gramStart"/>
      <w:r w:rsidRPr="00285196">
        <w:rPr>
          <w:rFonts w:ascii="inherit" w:eastAsia="Times New Roman" w:hAnsi="inherit" w:cs="Arial"/>
          <w:color w:val="222222"/>
          <w:sz w:val="21"/>
          <w:szCs w:val="21"/>
          <w:lang w:eastAsia="tr-TR"/>
        </w:rPr>
        <w:t>11.6</w:t>
      </w:r>
      <w:proofErr w:type="gramEnd"/>
      <w:r w:rsidRPr="00285196">
        <w:rPr>
          <w:rFonts w:ascii="inherit" w:eastAsia="Times New Roman" w:hAnsi="inherit" w:cs="Arial"/>
          <w:color w:val="222222"/>
          <w:sz w:val="21"/>
          <w:szCs w:val="21"/>
          <w:lang w:eastAsia="tr-TR"/>
        </w:rPr>
        <w:t xml:space="preserve"> mg sodium hydroxide.  </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22"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123" w:history="1">
        <w:r w:rsidRPr="00285196">
          <w:rPr>
            <w:rFonts w:ascii="Arial" w:eastAsia="Times New Roman" w:hAnsi="Arial" w:cs="Arial"/>
            <w:caps/>
            <w:color w:val="000000"/>
            <w:sz w:val="30"/>
            <w:szCs w:val="30"/>
            <w:u w:val="single"/>
            <w:bdr w:val="none" w:sz="0" w:space="0" w:color="auto" w:frame="1"/>
            <w:lang w:eastAsia="tr-TR"/>
          </w:rPr>
          <w:t>12 CLINICAL PHARMACOLOGY</w:t>
        </w:r>
      </w:hyperlink>
    </w:p>
    <w:p w:rsidR="00285196" w:rsidRPr="00285196" w:rsidRDefault="00285196" w:rsidP="00285196">
      <w:pPr>
        <w:spacing w:after="0" w:line="270" w:lineRule="atLeast"/>
        <w:ind w:left="600" w:right="150"/>
        <w:textAlignment w:val="baseline"/>
        <w:outlineLvl w:val="1"/>
        <w:rPr>
          <w:rFonts w:ascii="inherit" w:eastAsia="Times New Roman" w:hAnsi="inherit" w:cs="Arial"/>
          <w:b/>
          <w:bCs/>
          <w:color w:val="222222"/>
          <w:sz w:val="36"/>
          <w:szCs w:val="36"/>
          <w:lang w:eastAsia="tr-TR"/>
        </w:rPr>
      </w:pPr>
      <w:bookmarkStart w:id="53" w:name="CLINICAL_PHARMACOLOGY"/>
      <w:bookmarkStart w:id="54" w:name="section-15"/>
      <w:bookmarkStart w:id="55" w:name="MECHANISM_OF_ACTION"/>
      <w:bookmarkStart w:id="56" w:name="section-15.1"/>
      <w:bookmarkEnd w:id="53"/>
      <w:bookmarkEnd w:id="54"/>
      <w:bookmarkEnd w:id="55"/>
      <w:bookmarkEnd w:id="56"/>
      <w:r w:rsidRPr="00285196">
        <w:rPr>
          <w:rFonts w:ascii="inherit" w:eastAsia="Times New Roman" w:hAnsi="inherit" w:cs="Arial"/>
          <w:b/>
          <w:bCs/>
          <w:color w:val="222222"/>
          <w:sz w:val="36"/>
          <w:szCs w:val="36"/>
          <w:bdr w:val="none" w:sz="0" w:space="0" w:color="auto" w:frame="1"/>
          <w:lang w:eastAsia="tr-TR"/>
        </w:rPr>
        <w:t>12.1 Mechanism of Action</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Decitabine is believed to exert its antineoplastic effects after phosphorylation and direct incorporation into DNA and inhibition of DNA methyltransferase, causing hypomethylation of DNA and cellular differentiation or apoptosis. Decitabine inhibits DNA methylation in vitro, which is achieved at concentrations that do not cause major suppression of DNA synthesis. Decitabine-induced hypomethylation in neoplastic cells may restore normal function to genes that are critical for the control of cellular differentiation and proliferation. In rapidly dividing cells, the cytotoxicity of decitabine may also be attributed to the formation of covalent adducts between DNA methyltransferase and decitabine incorporated into DNA. Non-proliferating cells are relatively insensitive to decitabine.  </w:t>
      </w:r>
    </w:p>
    <w:p w:rsidR="00285196" w:rsidRPr="00285196" w:rsidRDefault="00285196" w:rsidP="00285196">
      <w:pPr>
        <w:spacing w:after="48" w:line="270" w:lineRule="atLeast"/>
        <w:ind w:left="600" w:right="150"/>
        <w:textAlignment w:val="baseline"/>
        <w:outlineLvl w:val="1"/>
        <w:rPr>
          <w:rFonts w:ascii="inherit" w:eastAsia="Times New Roman" w:hAnsi="inherit" w:cs="Arial"/>
          <w:b/>
          <w:bCs/>
          <w:color w:val="222222"/>
          <w:sz w:val="36"/>
          <w:szCs w:val="36"/>
          <w:lang w:eastAsia="tr-TR"/>
        </w:rPr>
      </w:pPr>
      <w:bookmarkStart w:id="57" w:name="PHARMACODYNAMICS"/>
      <w:bookmarkStart w:id="58" w:name="section-15.2"/>
      <w:bookmarkEnd w:id="57"/>
      <w:bookmarkEnd w:id="58"/>
      <w:r w:rsidRPr="00285196">
        <w:rPr>
          <w:rFonts w:ascii="inherit" w:eastAsia="Times New Roman" w:hAnsi="inherit" w:cs="Arial"/>
          <w:b/>
          <w:bCs/>
          <w:color w:val="222222"/>
          <w:sz w:val="36"/>
          <w:szCs w:val="36"/>
          <w:lang w:eastAsia="tr-TR"/>
        </w:rPr>
        <w:t>12.2 Pharmacodynamics</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Decitabine has been shown to induce hypomethylation both in vitro and in vivo. However, there have been no studies of decitabineinduced hypomethylation and pharmacokinetic parameters.</w:t>
      </w:r>
    </w:p>
    <w:p w:rsidR="00285196" w:rsidRPr="00285196" w:rsidRDefault="00285196" w:rsidP="00285196">
      <w:pPr>
        <w:spacing w:after="48" w:line="270" w:lineRule="atLeast"/>
        <w:ind w:left="600" w:right="150"/>
        <w:textAlignment w:val="baseline"/>
        <w:outlineLvl w:val="1"/>
        <w:rPr>
          <w:rFonts w:ascii="inherit" w:eastAsia="Times New Roman" w:hAnsi="inherit" w:cs="Arial"/>
          <w:b/>
          <w:bCs/>
          <w:color w:val="222222"/>
          <w:sz w:val="36"/>
          <w:szCs w:val="36"/>
          <w:lang w:eastAsia="tr-TR"/>
        </w:rPr>
      </w:pPr>
      <w:bookmarkStart w:id="59" w:name="PHARMACOKINETICS"/>
      <w:bookmarkStart w:id="60" w:name="section-15.3"/>
      <w:bookmarkEnd w:id="59"/>
      <w:bookmarkEnd w:id="60"/>
      <w:r w:rsidRPr="00285196">
        <w:rPr>
          <w:rFonts w:ascii="inherit" w:eastAsia="Times New Roman" w:hAnsi="inherit" w:cs="Arial"/>
          <w:b/>
          <w:bCs/>
          <w:color w:val="222222"/>
          <w:sz w:val="36"/>
          <w:szCs w:val="36"/>
          <w:lang w:eastAsia="tr-TR"/>
        </w:rPr>
        <w:t>12.3 Pharmacokinetics</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Pharmacokinetic parameters were evaluated in patients. Eleven patients received 20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infused over 1 hour intravenously (treatment Option 2), Fourteen patients received 15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 xml:space="preserve">infused over 3 hours (treatment Option 1). PK parameters are shown in Table 3. Plasma concentration-time profiles after discontinuation of infusion showed a biexponential decline. The CL of decitabine was higher following treatment Option 2. Upon repeat doses there was no systemic accumulation of decitabine or any changes in PK parameters. Population PK analysis (N=35) showed that the cumulative AUC per cycle for treatment Option 2 was </w:t>
      </w:r>
      <w:proofErr w:type="gramStart"/>
      <w:r w:rsidRPr="00285196">
        <w:rPr>
          <w:rFonts w:ascii="inherit" w:eastAsia="Times New Roman" w:hAnsi="inherit" w:cs="Arial"/>
          <w:color w:val="222222"/>
          <w:sz w:val="21"/>
          <w:szCs w:val="21"/>
          <w:lang w:eastAsia="tr-TR"/>
        </w:rPr>
        <w:t>2.3</w:t>
      </w:r>
      <w:proofErr w:type="gramEnd"/>
      <w:r w:rsidRPr="00285196">
        <w:rPr>
          <w:rFonts w:ascii="inherit" w:eastAsia="Times New Roman" w:hAnsi="inherit" w:cs="Arial"/>
          <w:color w:val="222222"/>
          <w:sz w:val="21"/>
          <w:szCs w:val="21"/>
          <w:lang w:eastAsia="tr-TR"/>
        </w:rPr>
        <w:t>-fold lower than the cumulative AUC per cycle following treatment Option 1.</w:t>
      </w:r>
    </w:p>
    <w:p w:rsidR="00285196" w:rsidRPr="00285196" w:rsidRDefault="00285196" w:rsidP="00285196">
      <w:pPr>
        <w:spacing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t>Table 3 Mean (CV% or 95% CI) Pharmacokinetic Parameters of Decitabine</w:t>
      </w:r>
    </w:p>
    <w:tbl>
      <w:tblPr>
        <w:tblW w:w="0" w:type="auto"/>
        <w:tblCellMar>
          <w:left w:w="0" w:type="dxa"/>
          <w:right w:w="0" w:type="dxa"/>
        </w:tblCellMar>
        <w:tblLook w:val="04A0" w:firstRow="1" w:lastRow="0" w:firstColumn="1" w:lastColumn="0" w:noHBand="0" w:noVBand="1"/>
      </w:tblPr>
      <w:tblGrid>
        <w:gridCol w:w="3439"/>
        <w:gridCol w:w="892"/>
        <w:gridCol w:w="1135"/>
        <w:gridCol w:w="729"/>
        <w:gridCol w:w="1087"/>
        <w:gridCol w:w="1970"/>
      </w:tblGrid>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Dose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C</w:t>
            </w:r>
            <w:r w:rsidRPr="00285196">
              <w:rPr>
                <w:rFonts w:ascii="inherit" w:eastAsia="Times New Roman" w:hAnsi="inherit" w:cs="Times New Roman"/>
                <w:b/>
                <w:bCs/>
                <w:sz w:val="17"/>
                <w:szCs w:val="17"/>
                <w:bdr w:val="none" w:sz="0" w:space="0" w:color="auto" w:frame="1"/>
                <w:lang w:eastAsia="tr-TR"/>
              </w:rPr>
              <w:t>max</w:t>
            </w:r>
            <w:r w:rsidRPr="00285196">
              <w:rPr>
                <w:rFonts w:ascii="inherit" w:eastAsia="Times New Roman" w:hAnsi="inherit" w:cs="Times New Roman"/>
                <w:b/>
                <w:bCs/>
                <w:sz w:val="24"/>
                <w:szCs w:val="24"/>
                <w:bdr w:val="none" w:sz="0" w:space="0" w:color="auto" w:frame="1"/>
                <w:lang w:eastAsia="tr-TR"/>
              </w:rPr>
              <w:t> </w:t>
            </w:r>
            <w:r w:rsidRPr="00285196">
              <w:rPr>
                <w:rFonts w:ascii="inherit" w:eastAsia="Times New Roman" w:hAnsi="inherit" w:cs="Times New Roman"/>
                <w:b/>
                <w:bCs/>
                <w:sz w:val="24"/>
                <w:szCs w:val="24"/>
                <w:bdr w:val="none" w:sz="0" w:space="0" w:color="auto" w:frame="1"/>
                <w:lang w:eastAsia="tr-TR"/>
              </w:rPr>
              <w:br/>
              <w:t>(ng/ mL)</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AUC</w:t>
            </w:r>
            <w:r w:rsidRPr="00285196">
              <w:rPr>
                <w:rFonts w:ascii="inherit" w:eastAsia="Times New Roman" w:hAnsi="inherit" w:cs="Times New Roman"/>
                <w:b/>
                <w:bCs/>
                <w:sz w:val="17"/>
                <w:szCs w:val="17"/>
                <w:bdr w:val="none" w:sz="0" w:space="0" w:color="auto" w:frame="1"/>
                <w:lang w:eastAsia="tr-TR"/>
              </w:rPr>
              <w:t>0-∞</w:t>
            </w:r>
            <w:r w:rsidRPr="00285196">
              <w:rPr>
                <w:rFonts w:ascii="inherit" w:eastAsia="Times New Roman" w:hAnsi="inherit" w:cs="Times New Roman"/>
                <w:sz w:val="24"/>
                <w:szCs w:val="24"/>
                <w:lang w:eastAsia="tr-TR"/>
              </w:rPr>
              <w:t> </w:t>
            </w:r>
            <w:r w:rsidRPr="00285196">
              <w:rPr>
                <w:rFonts w:ascii="inherit" w:eastAsia="Times New Roman" w:hAnsi="inherit" w:cs="Times New Roman"/>
                <w:sz w:val="24"/>
                <w:szCs w:val="24"/>
                <w:lang w:eastAsia="tr-TR"/>
              </w:rPr>
              <w:br/>
            </w:r>
            <w:r w:rsidRPr="00285196">
              <w:rPr>
                <w:rFonts w:ascii="inherit" w:eastAsia="Times New Roman" w:hAnsi="inherit" w:cs="Times New Roman"/>
                <w:b/>
                <w:bCs/>
                <w:sz w:val="24"/>
                <w:szCs w:val="24"/>
                <w:bdr w:val="none" w:sz="0" w:space="0" w:color="auto" w:frame="1"/>
                <w:lang w:eastAsia="tr-TR"/>
              </w:rPr>
              <w:t>(ng·h/m L)</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T½ (h)</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CL </w:t>
            </w:r>
            <w:r w:rsidRPr="00285196">
              <w:rPr>
                <w:rFonts w:ascii="inherit" w:eastAsia="Times New Roman" w:hAnsi="inherit" w:cs="Times New Roman"/>
                <w:b/>
                <w:bCs/>
                <w:sz w:val="24"/>
                <w:szCs w:val="24"/>
                <w:bdr w:val="none" w:sz="0" w:space="0" w:color="auto" w:frame="1"/>
                <w:lang w:eastAsia="tr-TR"/>
              </w:rPr>
              <w:br/>
              <w:t>(L/h/m2)</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AUC</w:t>
            </w:r>
            <w:r w:rsidRPr="00285196">
              <w:rPr>
                <w:rFonts w:ascii="inherit" w:eastAsia="Times New Roman" w:hAnsi="inherit" w:cs="Times New Roman"/>
                <w:b/>
                <w:bCs/>
                <w:sz w:val="17"/>
                <w:szCs w:val="17"/>
                <w:bdr w:val="none" w:sz="0" w:space="0" w:color="auto" w:frame="1"/>
                <w:lang w:eastAsia="tr-TR"/>
              </w:rPr>
              <w:t>Cumulative</w:t>
            </w:r>
            <w:r w:rsidRPr="00285196">
              <w:rPr>
                <w:rFonts w:ascii="inherit" w:eastAsia="Times New Roman" w:hAnsi="inherit" w:cs="Times New Roman"/>
                <w:b/>
                <w:bCs/>
                <w:sz w:val="24"/>
                <w:szCs w:val="24"/>
                <w:bdr w:val="none" w:sz="0" w:space="0" w:color="auto" w:frame="1"/>
                <w:lang w:eastAsia="tr-TR"/>
              </w:rPr>
              <w:t> ***</w:t>
            </w:r>
            <w:r w:rsidRPr="00285196">
              <w:rPr>
                <w:rFonts w:ascii="inherit" w:eastAsia="Times New Roman" w:hAnsi="inherit" w:cs="Times New Roman"/>
                <w:b/>
                <w:bCs/>
                <w:sz w:val="24"/>
                <w:szCs w:val="24"/>
                <w:bdr w:val="none" w:sz="0" w:space="0" w:color="auto" w:frame="1"/>
                <w:lang w:eastAsia="tr-TR"/>
              </w:rPr>
              <w:br/>
              <w:t>(ng·h/mL)</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15 mg/m</w:t>
            </w:r>
            <w:r w:rsidRPr="00285196">
              <w:rPr>
                <w:rFonts w:ascii="inherit" w:eastAsia="Times New Roman" w:hAnsi="inherit" w:cs="Times New Roman"/>
                <w:sz w:val="24"/>
                <w:szCs w:val="24"/>
                <w:bdr w:val="none" w:sz="0" w:space="0" w:color="auto" w:frame="1"/>
                <w:lang w:eastAsia="tr-TR"/>
              </w:rPr>
              <w:t>2</w:t>
            </w:r>
            <w:r w:rsidRPr="00285196">
              <w:rPr>
                <w:rFonts w:ascii="inherit" w:eastAsia="Times New Roman" w:hAnsi="inherit" w:cs="Times New Roman"/>
                <w:sz w:val="24"/>
                <w:szCs w:val="24"/>
                <w:lang w:eastAsia="tr-TR"/>
              </w:rPr>
              <w:t> 3-hr infusion every 8 hours for 3 days (Option 1)*</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73.8</w:t>
            </w:r>
            <w:r w:rsidRPr="00285196">
              <w:rPr>
                <w:rFonts w:ascii="inherit" w:eastAsia="Times New Roman" w:hAnsi="inherit" w:cs="Times New Roman"/>
                <w:sz w:val="24"/>
                <w:szCs w:val="24"/>
                <w:lang w:eastAsia="tr-TR"/>
              </w:rPr>
              <w:br/>
              <w:t>(66)</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163</w:t>
            </w:r>
            <w:r w:rsidRPr="00285196">
              <w:rPr>
                <w:rFonts w:ascii="inherit" w:eastAsia="Times New Roman" w:hAnsi="inherit" w:cs="Times New Roman"/>
                <w:sz w:val="24"/>
                <w:szCs w:val="24"/>
                <w:lang w:eastAsia="tr-TR"/>
              </w:rPr>
              <w:br/>
              <w:t>(62)</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0.62</w:t>
            </w:r>
            <w:r w:rsidRPr="00285196">
              <w:rPr>
                <w:rFonts w:ascii="inherit" w:eastAsia="Times New Roman" w:hAnsi="inherit" w:cs="Times New Roman"/>
                <w:sz w:val="24"/>
                <w:szCs w:val="24"/>
                <w:lang w:eastAsia="tr-TR"/>
              </w:rPr>
              <w:br/>
              <w:t>(49)</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125</w:t>
            </w:r>
            <w:r w:rsidRPr="00285196">
              <w:rPr>
                <w:rFonts w:ascii="inherit" w:eastAsia="Times New Roman" w:hAnsi="inherit" w:cs="Times New Roman"/>
                <w:sz w:val="24"/>
                <w:szCs w:val="24"/>
                <w:lang w:eastAsia="tr-TR"/>
              </w:rPr>
              <w:br/>
              <w:t>(53)</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1332</w:t>
            </w:r>
            <w:r w:rsidRPr="00285196">
              <w:rPr>
                <w:rFonts w:ascii="inherit" w:eastAsia="Times New Roman" w:hAnsi="inherit" w:cs="Times New Roman"/>
                <w:sz w:val="24"/>
                <w:szCs w:val="24"/>
                <w:lang w:eastAsia="tr-TR"/>
              </w:rPr>
              <w:br/>
              <w:t>(1010 - 1730)</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20 mg/m</w:t>
            </w:r>
            <w:r w:rsidRPr="00285196">
              <w:rPr>
                <w:rFonts w:ascii="inherit" w:eastAsia="Times New Roman" w:hAnsi="inherit" w:cs="Times New Roman"/>
                <w:sz w:val="24"/>
                <w:szCs w:val="24"/>
                <w:bdr w:val="none" w:sz="0" w:space="0" w:color="auto" w:frame="1"/>
                <w:lang w:eastAsia="tr-TR"/>
              </w:rPr>
              <w:t>2</w:t>
            </w:r>
            <w:r w:rsidRPr="00285196">
              <w:rPr>
                <w:rFonts w:ascii="inherit" w:eastAsia="Times New Roman" w:hAnsi="inherit" w:cs="Times New Roman"/>
                <w:sz w:val="24"/>
                <w:szCs w:val="24"/>
                <w:lang w:eastAsia="tr-TR"/>
              </w:rPr>
              <w:t> 1-hr infusion daily for 5 days (Option 2)**</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147</w:t>
            </w:r>
            <w:r w:rsidRPr="00285196">
              <w:rPr>
                <w:rFonts w:ascii="inherit" w:eastAsia="Times New Roman" w:hAnsi="inherit" w:cs="Times New Roman"/>
                <w:sz w:val="24"/>
                <w:szCs w:val="24"/>
                <w:lang w:eastAsia="tr-TR"/>
              </w:rPr>
              <w:br/>
              <w:t>(49)</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115</w:t>
            </w:r>
            <w:r w:rsidRPr="00285196">
              <w:rPr>
                <w:rFonts w:ascii="inherit" w:eastAsia="Times New Roman" w:hAnsi="inherit" w:cs="Times New Roman"/>
                <w:sz w:val="24"/>
                <w:szCs w:val="24"/>
                <w:lang w:eastAsia="tr-TR"/>
              </w:rPr>
              <w:br/>
              <w:t>(43)</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0.54</w:t>
            </w:r>
            <w:r w:rsidRPr="00285196">
              <w:rPr>
                <w:rFonts w:ascii="inherit" w:eastAsia="Times New Roman" w:hAnsi="inherit" w:cs="Times New Roman"/>
                <w:sz w:val="24"/>
                <w:szCs w:val="24"/>
                <w:lang w:eastAsia="tr-TR"/>
              </w:rPr>
              <w:br/>
              <w:t>(43)</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210</w:t>
            </w:r>
            <w:r w:rsidRPr="00285196">
              <w:rPr>
                <w:rFonts w:ascii="inherit" w:eastAsia="Times New Roman" w:hAnsi="inherit" w:cs="Times New Roman"/>
                <w:sz w:val="24"/>
                <w:szCs w:val="24"/>
                <w:lang w:eastAsia="tr-TR"/>
              </w:rPr>
              <w:br/>
              <w:t>(47)</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570</w:t>
            </w:r>
            <w:r w:rsidRPr="00285196">
              <w:rPr>
                <w:rFonts w:ascii="inherit" w:eastAsia="Times New Roman" w:hAnsi="inherit" w:cs="Times New Roman"/>
                <w:sz w:val="24"/>
                <w:szCs w:val="24"/>
                <w:lang w:eastAsia="tr-TR"/>
              </w:rPr>
              <w:br/>
              <w:t>(470 -700)</w:t>
            </w:r>
          </w:p>
        </w:tc>
      </w:tr>
    </w:tbl>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 N=14, **N=11, ***N=35 Cumulative AUC per cycle  </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The exact route of elimination and metabolic fate of decitabine is not known in humans. One of the pathways of elimination of decitabine appears to be deamination by cytidine deaminase found principally in the liver but also in granulocytes, intestinal epithelium and whole blood.  </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24"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125" w:history="1">
        <w:r w:rsidRPr="00285196">
          <w:rPr>
            <w:rFonts w:ascii="Arial" w:eastAsia="Times New Roman" w:hAnsi="Arial" w:cs="Arial"/>
            <w:caps/>
            <w:color w:val="000000"/>
            <w:sz w:val="30"/>
            <w:szCs w:val="30"/>
            <w:u w:val="single"/>
            <w:bdr w:val="none" w:sz="0" w:space="0" w:color="auto" w:frame="1"/>
            <w:lang w:eastAsia="tr-TR"/>
          </w:rPr>
          <w:t>13 NONCLINICAL TOXICOLOGY</w:t>
        </w:r>
      </w:hyperlink>
    </w:p>
    <w:p w:rsidR="00285196" w:rsidRPr="00285196" w:rsidRDefault="00285196" w:rsidP="00285196">
      <w:pPr>
        <w:spacing w:after="48" w:line="270" w:lineRule="atLeast"/>
        <w:ind w:left="600" w:right="150"/>
        <w:textAlignment w:val="baseline"/>
        <w:outlineLvl w:val="1"/>
        <w:rPr>
          <w:rFonts w:ascii="inherit" w:eastAsia="Times New Roman" w:hAnsi="inherit" w:cs="Arial"/>
          <w:b/>
          <w:bCs/>
          <w:color w:val="222222"/>
          <w:sz w:val="36"/>
          <w:szCs w:val="36"/>
          <w:lang w:eastAsia="tr-TR"/>
        </w:rPr>
      </w:pPr>
      <w:bookmarkStart w:id="61" w:name="NONCLINICAL_TOXICOLOGY"/>
      <w:bookmarkStart w:id="62" w:name="section-16"/>
      <w:bookmarkStart w:id="63" w:name="CARCINOGENESIS_AND_MUTAGENESIS_AND_IMPAI"/>
      <w:bookmarkStart w:id="64" w:name="section-16.1"/>
      <w:bookmarkEnd w:id="61"/>
      <w:bookmarkEnd w:id="62"/>
      <w:bookmarkEnd w:id="63"/>
      <w:bookmarkEnd w:id="64"/>
      <w:r w:rsidRPr="00285196">
        <w:rPr>
          <w:rFonts w:ascii="inherit" w:eastAsia="Times New Roman" w:hAnsi="inherit" w:cs="Arial"/>
          <w:b/>
          <w:bCs/>
          <w:color w:val="222222"/>
          <w:sz w:val="36"/>
          <w:szCs w:val="36"/>
          <w:lang w:eastAsia="tr-TR"/>
        </w:rPr>
        <w:t>13.1 Carcinogenesis, Mutagenesis, Impairment Of Fertility</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Carcinogenicity studies with decitabine have not been conducted. The mutagenic potential of decitabine was tested in several in vitro and in vivo systems. Decitabine increased mutation frequency in L5178Y mouse lymphoma cells, and mutations were produced in an Escherichia coli lac-l transgene in colonic DNA of decitabine-treated mice. Decitabine caused chromosomal rearrangements in larvae of fruit flies.  </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The effect of decitabine on postnatal development and reproductive capacity was evaluated in mice administered a single 3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 xml:space="preserve">IP injection (approximately 7% the recommended daily clinical dose) on day 10 of gestation. Body weights of males and females exposed in utero to decitabine were significantly reduced relative to controls at all postnatal time points. No consistent effect on fertility was seen when female mice exposed in utero were mated to untreated males. Untreated females mated to males exposed in utero showed decreased fertility at 3 and 5 months of age (36% and 0% pregnancy rate, respectively). In male mice given IP injections of 0.15, </w:t>
      </w:r>
      <w:proofErr w:type="gramStart"/>
      <w:r w:rsidRPr="00285196">
        <w:rPr>
          <w:rFonts w:ascii="inherit" w:eastAsia="Times New Roman" w:hAnsi="inherit" w:cs="Arial"/>
          <w:color w:val="222222"/>
          <w:sz w:val="21"/>
          <w:szCs w:val="21"/>
          <w:lang w:eastAsia="tr-TR"/>
        </w:rPr>
        <w:t>0.3</w:t>
      </w:r>
      <w:proofErr w:type="gramEnd"/>
      <w:r w:rsidRPr="00285196">
        <w:rPr>
          <w:rFonts w:ascii="inherit" w:eastAsia="Times New Roman" w:hAnsi="inherit" w:cs="Arial"/>
          <w:color w:val="222222"/>
          <w:sz w:val="21"/>
          <w:szCs w:val="21"/>
          <w:lang w:eastAsia="tr-TR"/>
        </w:rPr>
        <w:t xml:space="preserve"> or 0.45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 xml:space="preserve">decitabine (approximately 0.3% to 1% the recommended clinical dose) 3 times a week for 7 weeks, decitabine did not affect survival, body weight gain or hematological measures (hemoglobin and WBC counts). Testes weights were reduced, abnormal histology was observed and significant decreases in sperm number were found at doses ≥ </w:t>
      </w:r>
      <w:proofErr w:type="gramStart"/>
      <w:r w:rsidRPr="00285196">
        <w:rPr>
          <w:rFonts w:ascii="inherit" w:eastAsia="Times New Roman" w:hAnsi="inherit" w:cs="Arial"/>
          <w:color w:val="222222"/>
          <w:sz w:val="21"/>
          <w:szCs w:val="21"/>
          <w:lang w:eastAsia="tr-TR"/>
        </w:rPr>
        <w:t>0.3</w:t>
      </w:r>
      <w:proofErr w:type="gramEnd"/>
      <w:r w:rsidRPr="00285196">
        <w:rPr>
          <w:rFonts w:ascii="inherit" w:eastAsia="Times New Roman" w:hAnsi="inherit" w:cs="Arial"/>
          <w:color w:val="222222"/>
          <w:sz w:val="21"/>
          <w:szCs w:val="21"/>
          <w:lang w:eastAsia="tr-TR"/>
        </w:rPr>
        <w:t xml:space="preserve"> mg/m</w:t>
      </w:r>
      <w:r w:rsidRPr="00285196">
        <w:rPr>
          <w:rFonts w:ascii="inherit" w:eastAsia="Times New Roman" w:hAnsi="inherit" w:cs="Arial"/>
          <w:color w:val="222222"/>
          <w:sz w:val="21"/>
          <w:szCs w:val="21"/>
          <w:bdr w:val="none" w:sz="0" w:space="0" w:color="auto" w:frame="1"/>
          <w:lang w:eastAsia="tr-TR"/>
        </w:rPr>
        <w:t>2</w:t>
      </w:r>
      <w:r w:rsidRPr="00285196">
        <w:rPr>
          <w:rFonts w:ascii="inherit" w:eastAsia="Times New Roman" w:hAnsi="inherit" w:cs="Arial"/>
          <w:color w:val="222222"/>
          <w:sz w:val="21"/>
          <w:szCs w:val="21"/>
          <w:lang w:eastAsia="tr-TR"/>
        </w:rPr>
        <w:t xml:space="preserve">. In females mated to males dosed with ≥ </w:t>
      </w:r>
      <w:proofErr w:type="gramStart"/>
      <w:r w:rsidRPr="00285196">
        <w:rPr>
          <w:rFonts w:ascii="inherit" w:eastAsia="Times New Roman" w:hAnsi="inherit" w:cs="Arial"/>
          <w:color w:val="222222"/>
          <w:sz w:val="21"/>
          <w:szCs w:val="21"/>
          <w:lang w:eastAsia="tr-TR"/>
        </w:rPr>
        <w:t>0.3</w:t>
      </w:r>
      <w:proofErr w:type="gramEnd"/>
      <w:r w:rsidRPr="00285196">
        <w:rPr>
          <w:rFonts w:ascii="inherit" w:eastAsia="Times New Roman" w:hAnsi="inherit" w:cs="Arial"/>
          <w:color w:val="222222"/>
          <w:sz w:val="21"/>
          <w:szCs w:val="21"/>
          <w:lang w:eastAsia="tr-TR"/>
        </w:rPr>
        <w:t xml:space="preserve">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decitabine, pregnancy rate was reduced and preimplantation loss was significantly increased.</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26"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127" w:history="1">
        <w:r w:rsidRPr="00285196">
          <w:rPr>
            <w:rFonts w:ascii="Arial" w:eastAsia="Times New Roman" w:hAnsi="Arial" w:cs="Arial"/>
            <w:caps/>
            <w:color w:val="000000"/>
            <w:sz w:val="30"/>
            <w:szCs w:val="30"/>
            <w:u w:val="single"/>
            <w:bdr w:val="none" w:sz="0" w:space="0" w:color="auto" w:frame="1"/>
            <w:lang w:eastAsia="tr-TR"/>
          </w:rPr>
          <w:t>14 CLINICAL STUDIES</w:t>
        </w:r>
      </w:hyperlink>
    </w:p>
    <w:p w:rsidR="00285196" w:rsidRPr="00285196" w:rsidRDefault="00285196" w:rsidP="00285196">
      <w:pPr>
        <w:spacing w:after="0" w:line="270" w:lineRule="atLeast"/>
        <w:ind w:left="600" w:right="150"/>
        <w:textAlignment w:val="baseline"/>
        <w:outlineLvl w:val="1"/>
        <w:rPr>
          <w:rFonts w:ascii="inherit" w:eastAsia="Times New Roman" w:hAnsi="inherit" w:cs="Arial"/>
          <w:b/>
          <w:bCs/>
          <w:color w:val="222222"/>
          <w:sz w:val="36"/>
          <w:szCs w:val="36"/>
          <w:lang w:eastAsia="tr-TR"/>
        </w:rPr>
      </w:pPr>
      <w:bookmarkStart w:id="65" w:name="CLINICAL_STUDIES"/>
      <w:bookmarkStart w:id="66" w:name="section-17"/>
      <w:bookmarkStart w:id="67" w:name="_83e455cf-ab48-cfa1-115e-315177fdbdd1"/>
      <w:bookmarkStart w:id="68" w:name="section-17.1"/>
      <w:bookmarkEnd w:id="65"/>
      <w:bookmarkEnd w:id="66"/>
      <w:bookmarkEnd w:id="67"/>
      <w:bookmarkEnd w:id="68"/>
      <w:r w:rsidRPr="00285196">
        <w:rPr>
          <w:rFonts w:ascii="inherit" w:eastAsia="Times New Roman" w:hAnsi="inherit" w:cs="Arial"/>
          <w:b/>
          <w:bCs/>
          <w:color w:val="222222"/>
          <w:sz w:val="36"/>
          <w:szCs w:val="36"/>
          <w:bdr w:val="none" w:sz="0" w:space="0" w:color="auto" w:frame="1"/>
          <w:lang w:eastAsia="tr-TR"/>
        </w:rPr>
        <w:t>14.1 Controlled Trial</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A randomized open-label, multicenter, controlled trial evaluated 170 adult patients with myelodysplastic syndromes (MDS) meeting French-American-British (FAB) classification criteria and International Prognostic Scoring System (IPSS) High-Risk, Intermediate-2 and Intermediate-1 prognostic scores. Eighty-nine patients were randomized to decitabine for injection therapy plus supportive care (only 83 received decitabine for injection), and 81 to Supportive Care (SC) alone. Patients with Acute Myeloid Leukemia (AML) were not intended to be included. Of the 170 patients included in the study, independent review (adjudicated diagnosis) found that 12 patients (9 in the decitabine for injection arm and 3 in the SC arm) had the diagnosis of AML at baseline. Baseline demographics and other patient characteristics in the Intent-to-Treat (ITT) population were similar between the 2 groups, as shown in Table 4.</w:t>
      </w:r>
    </w:p>
    <w:p w:rsidR="00285196" w:rsidRPr="00285196" w:rsidRDefault="00285196" w:rsidP="00285196">
      <w:pPr>
        <w:spacing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t>Table 4 Baseline Demographics and Other Patient Characteristics (ITT)</w:t>
      </w:r>
    </w:p>
    <w:tbl>
      <w:tblPr>
        <w:tblW w:w="0" w:type="auto"/>
        <w:tblCellMar>
          <w:left w:w="0" w:type="dxa"/>
          <w:right w:w="0" w:type="dxa"/>
        </w:tblCellMar>
        <w:tblLook w:val="04A0" w:firstRow="1" w:lastRow="0" w:firstColumn="1" w:lastColumn="0" w:noHBand="0" w:noVBand="1"/>
      </w:tblPr>
      <w:tblGrid>
        <w:gridCol w:w="3607"/>
        <w:gridCol w:w="2687"/>
        <w:gridCol w:w="1200"/>
      </w:tblGrid>
      <w:tr w:rsidR="00285196" w:rsidRPr="00285196" w:rsidTr="00285196">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Supportive</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Demographic or Other Patient</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Decitabine For Injection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Care</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Characteristic</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N = 89</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N= 81</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Age (years)</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Mean (±SD)</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69±10</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67±10</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Median (IQR)</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70 (65-76)</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70 (62-74)</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(Range: min-max)</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(31-85)</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(30-82)</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Gender n (%)</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Male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59 (66)</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57 (70)</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Female</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30 (34)</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24 (30)</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Race n (%)</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White</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83 (93)</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76 (94)</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Black</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(4)</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 (2)</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Other</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 (2)</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(4)</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Weeks Since MDS Diagnosis</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Mean (±SD)</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86±131</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77±119</w:t>
            </w:r>
          </w:p>
        </w:tc>
      </w:tr>
      <w:tr w:rsidR="00285196" w:rsidRPr="00285196" w:rsidTr="00285196">
        <w:tc>
          <w:tcPr>
            <w:tcW w:w="0" w:type="auto"/>
            <w:gridSpan w:val="3"/>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Supportive</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Median (IQR)</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29 (10-87)</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35 (7-98)</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(Range: min-max)</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(2-667)</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(2-865)</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Previous MDS Therapy n (%)</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Yes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27 (30)</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19 (23)</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No</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62 (70)</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62 (77)</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RBC Transfusion Status n (%)</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Independent</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23 (26)</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27 (33)</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Dependent</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66 (74)</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54 (67)</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Platelet Transfusion Status n (%)</w:t>
            </w:r>
          </w:p>
        </w:tc>
        <w:tc>
          <w:tcPr>
            <w:tcW w:w="0" w:type="auto"/>
            <w:gridSpan w:val="2"/>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Independent</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69 (78)</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62 (77)</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Dependent</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20 (22)</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19 (23)</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IPSS Classification n (%)</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Intermediate–1</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28 (31)</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24 (30)</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Intermediate–2</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38 (43)</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36 (44)</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High Risk</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23 (26)</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21 (26)</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FAB Classification n (%)</w:t>
            </w:r>
          </w:p>
        </w:tc>
        <w:tc>
          <w:tcPr>
            <w:tcW w:w="0" w:type="auto"/>
            <w:gridSpan w:val="2"/>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RA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12 (13)</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12 (15)</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RARS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 (8)</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(5)</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RAEB</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47 (53)</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43 (53)</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RAEB-t</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17 (19)</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14 (17)</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CMML</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(7)</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 (10)</w:t>
            </w:r>
          </w:p>
        </w:tc>
      </w:tr>
    </w:tbl>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Patients randomized to the decitabine for injection arm received decitabine for injection intravenously infused at a dose of 15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over a 3-hour period, every 8 hours, for 3 consecutive days. This cycle was repeated every 6 weeks, depending on the patient’s clinical response and toxicity. Supportive care consisted of blood and blood product transfusions, prophylactic antibiotics, and hematopoietic growth factors. The study endpoints were overall response rate (complete response + partial response) and time to AML or death. Responses were classified using the MDS International Working Group (IWG) criteria; patients were required to be RBC and platelet transfusion independent during the time of response. Response criteria are given in </w:t>
      </w:r>
      <w:r w:rsidRPr="00285196">
        <w:rPr>
          <w:rFonts w:ascii="inherit" w:eastAsia="Times New Roman" w:hAnsi="inherit" w:cs="Arial"/>
          <w:b/>
          <w:bCs/>
          <w:color w:val="222222"/>
          <w:sz w:val="21"/>
          <w:szCs w:val="21"/>
          <w:bdr w:val="none" w:sz="0" w:space="0" w:color="auto" w:frame="1"/>
          <w:lang w:eastAsia="tr-TR"/>
        </w:rPr>
        <w:t>Table 5</w:t>
      </w:r>
      <w:r w:rsidRPr="00285196">
        <w:rPr>
          <w:rFonts w:ascii="inherit" w:eastAsia="Times New Roman" w:hAnsi="inherit" w:cs="Arial"/>
          <w:color w:val="222222"/>
          <w:sz w:val="21"/>
          <w:szCs w:val="21"/>
          <w:lang w:eastAsia="tr-TR"/>
        </w:rPr>
        <w:t>: </w:t>
      </w:r>
      <w:r w:rsidRPr="00285196">
        <w:rPr>
          <w:rFonts w:ascii="inherit" w:eastAsia="Times New Roman" w:hAnsi="inherit" w:cs="Arial"/>
          <w:b/>
          <w:bCs/>
          <w:color w:val="222222"/>
          <w:sz w:val="21"/>
          <w:szCs w:val="21"/>
          <w:bdr w:val="none" w:sz="0" w:space="0" w:color="auto" w:frame="1"/>
          <w:lang w:eastAsia="tr-TR"/>
        </w:rPr>
        <w:t> </w:t>
      </w:r>
    </w:p>
    <w:p w:rsidR="00285196" w:rsidRPr="00285196" w:rsidRDefault="00285196" w:rsidP="00285196">
      <w:pPr>
        <w:spacing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t>Table 5 Response Criteria for Phase 3 Trial*</w:t>
      </w:r>
    </w:p>
    <w:tbl>
      <w:tblPr>
        <w:tblW w:w="0" w:type="auto"/>
        <w:tblCellMar>
          <w:left w:w="0" w:type="dxa"/>
          <w:right w:w="0" w:type="dxa"/>
        </w:tblCellMar>
        <w:tblLook w:val="04A0" w:firstRow="1" w:lastRow="0" w:firstColumn="1" w:lastColumn="0" w:noHBand="0" w:noVBand="1"/>
      </w:tblPr>
      <w:tblGrid>
        <w:gridCol w:w="2980"/>
        <w:gridCol w:w="1729"/>
        <w:gridCol w:w="4543"/>
      </w:tblGrid>
      <w:tr w:rsidR="00285196" w:rsidRPr="00285196" w:rsidTr="00285196">
        <w:tc>
          <w:tcPr>
            <w:tcW w:w="0" w:type="auto"/>
            <w:vMerge w:val="restart"/>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Complete Response (CR) ≥ 8 weeks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Bone Marrow</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On repeat aspirates:</w:t>
            </w:r>
            <w:r w:rsidRPr="00285196">
              <w:rPr>
                <w:rFonts w:ascii="inherit" w:eastAsia="Times New Roman" w:hAnsi="inherit" w:cs="Times New Roman"/>
                <w:b/>
                <w:bCs/>
                <w:sz w:val="24"/>
                <w:szCs w:val="24"/>
                <w:bdr w:val="none" w:sz="0" w:space="0" w:color="auto" w:frame="1"/>
                <w:lang w:eastAsia="tr-TR"/>
              </w:rPr>
              <w:br/>
            </w:r>
            <w:r w:rsidRPr="00285196">
              <w:rPr>
                <w:rFonts w:ascii="inherit" w:eastAsia="Times New Roman" w:hAnsi="inherit" w:cs="Times New Roman"/>
                <w:sz w:val="24"/>
                <w:szCs w:val="24"/>
                <w:lang w:eastAsia="tr-TR"/>
              </w:rPr>
              <w:t>• &lt; 5% myeloblasts</w:t>
            </w:r>
            <w:r w:rsidRPr="00285196">
              <w:rPr>
                <w:rFonts w:ascii="inherit" w:eastAsia="Times New Roman" w:hAnsi="inherit" w:cs="Times New Roman"/>
                <w:sz w:val="24"/>
                <w:szCs w:val="24"/>
                <w:lang w:eastAsia="tr-TR"/>
              </w:rPr>
              <w:br/>
              <w:t>• No dysplastic changes</w:t>
            </w:r>
          </w:p>
        </w:tc>
      </w:tr>
      <w:tr w:rsidR="00285196" w:rsidRPr="00285196" w:rsidTr="00285196">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285196" w:rsidRPr="00285196" w:rsidRDefault="00285196" w:rsidP="00285196">
            <w:pPr>
              <w:spacing w:after="0" w:line="240" w:lineRule="auto"/>
              <w:rPr>
                <w:rFonts w:ascii="inherit" w:eastAsia="Times New Roman" w:hAnsi="inherit" w:cs="Times New Roman"/>
                <w:sz w:val="24"/>
                <w:szCs w:val="24"/>
                <w:lang w:eastAsia="tr-TR"/>
              </w:rPr>
            </w:pP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Peripheral Blood</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In all samples during response: </w:t>
            </w:r>
            <w:r w:rsidRPr="00285196">
              <w:rPr>
                <w:rFonts w:ascii="inherit" w:eastAsia="Times New Roman" w:hAnsi="inherit" w:cs="Times New Roman"/>
                <w:b/>
                <w:bCs/>
                <w:sz w:val="24"/>
                <w:szCs w:val="24"/>
                <w:bdr w:val="none" w:sz="0" w:space="0" w:color="auto" w:frame="1"/>
                <w:lang w:eastAsia="tr-TR"/>
              </w:rPr>
              <w:br/>
            </w:r>
            <w:r w:rsidRPr="00285196">
              <w:rPr>
                <w:rFonts w:ascii="inherit" w:eastAsia="Times New Roman" w:hAnsi="inherit" w:cs="Times New Roman"/>
                <w:sz w:val="24"/>
                <w:szCs w:val="24"/>
                <w:lang w:eastAsia="tr-TR"/>
              </w:rPr>
              <w:t xml:space="preserve">• Hgb &gt; 11 g/dL </w:t>
            </w:r>
            <w:proofErr w:type="gramStart"/>
            <w:r w:rsidRPr="00285196">
              <w:rPr>
                <w:rFonts w:ascii="inherit" w:eastAsia="Times New Roman" w:hAnsi="inherit" w:cs="Times New Roman"/>
                <w:sz w:val="24"/>
                <w:szCs w:val="24"/>
                <w:lang w:eastAsia="tr-TR"/>
              </w:rPr>
              <w:t>(</w:t>
            </w:r>
            <w:proofErr w:type="gramEnd"/>
            <w:r w:rsidRPr="00285196">
              <w:rPr>
                <w:rFonts w:ascii="inherit" w:eastAsia="Times New Roman" w:hAnsi="inherit" w:cs="Times New Roman"/>
                <w:sz w:val="24"/>
                <w:szCs w:val="24"/>
                <w:lang w:eastAsia="tr-TR"/>
              </w:rPr>
              <w:t>no transfusions or erythropoietin</w:t>
            </w:r>
            <w:r w:rsidRPr="00285196">
              <w:rPr>
                <w:rFonts w:ascii="inherit" w:eastAsia="Times New Roman" w:hAnsi="inherit" w:cs="Times New Roman"/>
                <w:sz w:val="24"/>
                <w:szCs w:val="24"/>
                <w:lang w:eastAsia="tr-TR"/>
              </w:rPr>
              <w:br/>
              <w:t>• ANC ≥ 1500/μL (no growth factor)</w:t>
            </w:r>
            <w:r w:rsidRPr="00285196">
              <w:rPr>
                <w:rFonts w:ascii="inherit" w:eastAsia="Times New Roman" w:hAnsi="inherit" w:cs="Times New Roman"/>
                <w:sz w:val="24"/>
                <w:szCs w:val="24"/>
                <w:lang w:eastAsia="tr-TR"/>
              </w:rPr>
              <w:br/>
              <w:t>• Platelets ≥ 100,000/ μL (no thrombopoietic agent)</w:t>
            </w:r>
            <w:r w:rsidRPr="00285196">
              <w:rPr>
                <w:rFonts w:ascii="inherit" w:eastAsia="Times New Roman" w:hAnsi="inherit" w:cs="Times New Roman"/>
                <w:sz w:val="24"/>
                <w:szCs w:val="24"/>
                <w:lang w:eastAsia="tr-TR"/>
              </w:rPr>
              <w:br/>
              <w:t>• No blasts and no dysplasia</w:t>
            </w:r>
          </w:p>
        </w:tc>
      </w:tr>
      <w:tr w:rsidR="00285196" w:rsidRPr="00285196" w:rsidTr="00285196">
        <w:tc>
          <w:tcPr>
            <w:tcW w:w="0" w:type="auto"/>
            <w:vMerge w:val="restart"/>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Partial Response (PR) ≥ 8 weeks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Bone Marrow</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On repeat aspirates: </w:t>
            </w:r>
            <w:r w:rsidRPr="00285196">
              <w:rPr>
                <w:rFonts w:ascii="inherit" w:eastAsia="Times New Roman" w:hAnsi="inherit" w:cs="Times New Roman"/>
                <w:b/>
                <w:bCs/>
                <w:sz w:val="24"/>
                <w:szCs w:val="24"/>
                <w:bdr w:val="none" w:sz="0" w:space="0" w:color="auto" w:frame="1"/>
                <w:lang w:eastAsia="tr-TR"/>
              </w:rPr>
              <w:br/>
            </w:r>
            <w:r w:rsidRPr="00285196">
              <w:rPr>
                <w:rFonts w:ascii="inherit" w:eastAsia="Times New Roman" w:hAnsi="inherit" w:cs="Times New Roman"/>
                <w:sz w:val="24"/>
                <w:szCs w:val="24"/>
                <w:lang w:eastAsia="tr-TR"/>
              </w:rPr>
              <w:t>• ≥ 50% decrease in blasts over pretreatment values OR</w:t>
            </w:r>
            <w:r w:rsidRPr="00285196">
              <w:rPr>
                <w:rFonts w:ascii="inherit" w:eastAsia="Times New Roman" w:hAnsi="inherit" w:cs="Times New Roman"/>
                <w:sz w:val="24"/>
                <w:szCs w:val="24"/>
                <w:lang w:eastAsia="tr-TR"/>
              </w:rPr>
              <w:br/>
              <w:t>• Improvement to a less advanced MDS FAB classification</w:t>
            </w:r>
          </w:p>
        </w:tc>
      </w:tr>
      <w:tr w:rsidR="00285196" w:rsidRPr="00285196" w:rsidTr="00285196">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285196" w:rsidRPr="00285196" w:rsidRDefault="00285196" w:rsidP="00285196">
            <w:pPr>
              <w:spacing w:after="0" w:line="240" w:lineRule="auto"/>
              <w:rPr>
                <w:rFonts w:ascii="inherit" w:eastAsia="Times New Roman" w:hAnsi="inherit" w:cs="Times New Roman"/>
                <w:sz w:val="24"/>
                <w:szCs w:val="24"/>
                <w:lang w:eastAsia="tr-TR"/>
              </w:rPr>
            </w:pP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Peripheral Blood</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Same as for CR</w:t>
            </w:r>
          </w:p>
        </w:tc>
      </w:tr>
    </w:tbl>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t>* </w:t>
      </w:r>
      <w:r w:rsidRPr="00285196">
        <w:rPr>
          <w:rFonts w:ascii="inherit" w:eastAsia="Times New Roman" w:hAnsi="inherit" w:cs="Arial"/>
          <w:color w:val="222222"/>
          <w:sz w:val="21"/>
          <w:szCs w:val="21"/>
          <w:lang w:eastAsia="tr-TR"/>
        </w:rPr>
        <w:t xml:space="preserve">Cheson BD, Bennett JM, et al. Report of an International Working Group to Standardize Response Criteria for MDS. Blood. 2000; </w:t>
      </w:r>
      <w:proofErr w:type="gramStart"/>
      <w:r w:rsidRPr="00285196">
        <w:rPr>
          <w:rFonts w:ascii="inherit" w:eastAsia="Times New Roman" w:hAnsi="inherit" w:cs="Arial"/>
          <w:color w:val="222222"/>
          <w:sz w:val="21"/>
          <w:szCs w:val="21"/>
          <w:lang w:eastAsia="tr-TR"/>
        </w:rPr>
        <w:t>96:3671</w:t>
      </w:r>
      <w:proofErr w:type="gramEnd"/>
      <w:r w:rsidRPr="00285196">
        <w:rPr>
          <w:rFonts w:ascii="inherit" w:eastAsia="Times New Roman" w:hAnsi="inherit" w:cs="Arial"/>
          <w:color w:val="222222"/>
          <w:sz w:val="21"/>
          <w:szCs w:val="21"/>
          <w:lang w:eastAsia="tr-TR"/>
        </w:rPr>
        <w:t>-3674.</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The overall response rate (CR+PR) in the ITT population was 17% in decitabine for injection-treated patients and 0% in the SC group (p&lt;0.001). (</w:t>
      </w:r>
      <w:r w:rsidRPr="00285196">
        <w:rPr>
          <w:rFonts w:ascii="inherit" w:eastAsia="Times New Roman" w:hAnsi="inherit" w:cs="Arial"/>
          <w:b/>
          <w:bCs/>
          <w:color w:val="222222"/>
          <w:sz w:val="21"/>
          <w:szCs w:val="21"/>
          <w:bdr w:val="none" w:sz="0" w:space="0" w:color="auto" w:frame="1"/>
          <w:lang w:eastAsia="tr-TR"/>
        </w:rPr>
        <w:t>See Table 6</w:t>
      </w:r>
      <w:r w:rsidRPr="00285196">
        <w:rPr>
          <w:rFonts w:ascii="inherit" w:eastAsia="Times New Roman" w:hAnsi="inherit" w:cs="Arial"/>
          <w:color w:val="222222"/>
          <w:sz w:val="21"/>
          <w:szCs w:val="21"/>
          <w:lang w:eastAsia="tr-TR"/>
        </w:rPr>
        <w:t>) The overall response rate was 21% (12/56) in decitabine for injection-treated patients considered evaluable for response (i.e</w:t>
      </w:r>
      <w:proofErr w:type="gramStart"/>
      <w:r w:rsidRPr="00285196">
        <w:rPr>
          <w:rFonts w:ascii="inherit" w:eastAsia="Times New Roman" w:hAnsi="inherit" w:cs="Arial"/>
          <w:color w:val="222222"/>
          <w:sz w:val="21"/>
          <w:szCs w:val="21"/>
          <w:lang w:eastAsia="tr-TR"/>
        </w:rPr>
        <w:t>.,</w:t>
      </w:r>
      <w:proofErr w:type="gramEnd"/>
      <w:r w:rsidRPr="00285196">
        <w:rPr>
          <w:rFonts w:ascii="inherit" w:eastAsia="Times New Roman" w:hAnsi="inherit" w:cs="Arial"/>
          <w:color w:val="222222"/>
          <w:sz w:val="21"/>
          <w:szCs w:val="21"/>
          <w:lang w:eastAsia="tr-TR"/>
        </w:rPr>
        <w:t xml:space="preserve"> those patients with pathologically confirmed MDS at baseline who received at least 2 cycles of treatment). The median duration of response (range) for patients who responded to decitabine for injection was 288 days (116 to 388) and median time to response (range) was 93 days (55 to 272). All but one of the decitabine for injection-treated patients who responded did so by the fourth cycle. Benefit was seen in an additional 13% of decitabine for injection-treated patients who had hematologic improvement, defined as a response less than PR lasting at least 8 weeks, compared to 7% of SC patients. decitabine for injection treatment did not significantly delay the median time to AML or death versus supportive care.</w:t>
      </w:r>
    </w:p>
    <w:p w:rsidR="00285196" w:rsidRPr="00285196" w:rsidRDefault="00285196" w:rsidP="00285196">
      <w:pPr>
        <w:spacing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t>Table 6 Analysis of Response (ITT)</w:t>
      </w:r>
    </w:p>
    <w:tbl>
      <w:tblPr>
        <w:tblW w:w="0" w:type="auto"/>
        <w:tblCellMar>
          <w:left w:w="0" w:type="dxa"/>
          <w:right w:w="0" w:type="dxa"/>
        </w:tblCellMar>
        <w:tblLook w:val="04A0" w:firstRow="1" w:lastRow="0" w:firstColumn="1" w:lastColumn="0" w:noHBand="0" w:noVBand="1"/>
      </w:tblPr>
      <w:tblGrid>
        <w:gridCol w:w="4919"/>
        <w:gridCol w:w="2520"/>
        <w:gridCol w:w="1813"/>
      </w:tblGrid>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Parameter</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Decitabine For Injection</w:t>
            </w:r>
            <w:r w:rsidRPr="00285196">
              <w:rPr>
                <w:rFonts w:ascii="inherit" w:eastAsia="Times New Roman" w:hAnsi="inherit" w:cs="Times New Roman"/>
                <w:b/>
                <w:bCs/>
                <w:sz w:val="24"/>
                <w:szCs w:val="24"/>
                <w:bdr w:val="none" w:sz="0" w:space="0" w:color="auto" w:frame="1"/>
                <w:lang w:eastAsia="tr-TR"/>
              </w:rPr>
              <w:br/>
              <w:t>N=89</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Supportive Care</w:t>
            </w:r>
            <w:r w:rsidRPr="00285196">
              <w:rPr>
                <w:rFonts w:ascii="inherit" w:eastAsia="Times New Roman" w:hAnsi="inherit" w:cs="Times New Roman"/>
                <w:b/>
                <w:bCs/>
                <w:sz w:val="24"/>
                <w:szCs w:val="24"/>
                <w:bdr w:val="none" w:sz="0" w:space="0" w:color="auto" w:frame="1"/>
                <w:lang w:eastAsia="tr-TR"/>
              </w:rPr>
              <w:br/>
              <w:t>N=81</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Overall Response Rate (CR+PR)† </w:t>
            </w:r>
            <w:r w:rsidRPr="00285196">
              <w:rPr>
                <w:rFonts w:ascii="inherit" w:eastAsia="Times New Roman" w:hAnsi="inherit" w:cs="Times New Roman"/>
                <w:b/>
                <w:bCs/>
                <w:sz w:val="24"/>
                <w:szCs w:val="24"/>
                <w:bdr w:val="none" w:sz="0" w:space="0" w:color="auto" w:frame="1"/>
                <w:lang w:eastAsia="tr-TR"/>
              </w:rPr>
              <w:br/>
            </w:r>
            <w:r w:rsidRPr="00285196">
              <w:rPr>
                <w:rFonts w:ascii="inherit" w:eastAsia="Times New Roman" w:hAnsi="inherit" w:cs="Times New Roman"/>
                <w:sz w:val="24"/>
                <w:szCs w:val="24"/>
                <w:lang w:eastAsia="tr-TR"/>
              </w:rPr>
              <w:t>Complete Response (CR) </w:t>
            </w:r>
            <w:r w:rsidRPr="00285196">
              <w:rPr>
                <w:rFonts w:ascii="inherit" w:eastAsia="Times New Roman" w:hAnsi="inherit" w:cs="Times New Roman"/>
                <w:sz w:val="24"/>
                <w:szCs w:val="24"/>
                <w:lang w:eastAsia="tr-TR"/>
              </w:rPr>
              <w:br/>
              <w:t>Partial Response (PR)</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15 (17%)**</w:t>
            </w:r>
            <w:r w:rsidRPr="00285196">
              <w:rPr>
                <w:rFonts w:ascii="inherit" w:eastAsia="Times New Roman" w:hAnsi="inherit" w:cs="Times New Roman"/>
                <w:b/>
                <w:bCs/>
                <w:sz w:val="24"/>
                <w:szCs w:val="24"/>
                <w:bdr w:val="none" w:sz="0" w:space="0" w:color="auto" w:frame="1"/>
                <w:lang w:eastAsia="tr-TR"/>
              </w:rPr>
              <w:br/>
            </w:r>
            <w:r w:rsidRPr="00285196">
              <w:rPr>
                <w:rFonts w:ascii="inherit" w:eastAsia="Times New Roman" w:hAnsi="inherit" w:cs="Times New Roman"/>
                <w:sz w:val="24"/>
                <w:szCs w:val="24"/>
                <w:lang w:eastAsia="tr-TR"/>
              </w:rPr>
              <w:t>8 (9%)</w:t>
            </w:r>
            <w:r w:rsidRPr="00285196">
              <w:rPr>
                <w:rFonts w:ascii="inherit" w:eastAsia="Times New Roman" w:hAnsi="inherit" w:cs="Times New Roman"/>
                <w:sz w:val="24"/>
                <w:szCs w:val="24"/>
                <w:lang w:eastAsia="tr-TR"/>
              </w:rPr>
              <w:br/>
              <w:t>7 (8%)</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0 (0%)</w:t>
            </w:r>
            <w:r w:rsidRPr="00285196">
              <w:rPr>
                <w:rFonts w:ascii="inherit" w:eastAsia="Times New Roman" w:hAnsi="inherit" w:cs="Times New Roman"/>
                <w:b/>
                <w:bCs/>
                <w:sz w:val="24"/>
                <w:szCs w:val="24"/>
                <w:bdr w:val="none" w:sz="0" w:space="0" w:color="auto" w:frame="1"/>
                <w:lang w:eastAsia="tr-TR"/>
              </w:rPr>
              <w:br/>
            </w:r>
            <w:r w:rsidRPr="00285196">
              <w:rPr>
                <w:rFonts w:ascii="inherit" w:eastAsia="Times New Roman" w:hAnsi="inherit" w:cs="Times New Roman"/>
                <w:sz w:val="24"/>
                <w:szCs w:val="24"/>
                <w:lang w:eastAsia="tr-TR"/>
              </w:rPr>
              <w:t>0 (0%)</w:t>
            </w:r>
            <w:r w:rsidRPr="00285196">
              <w:rPr>
                <w:rFonts w:ascii="inherit" w:eastAsia="Times New Roman" w:hAnsi="inherit" w:cs="Times New Roman"/>
                <w:sz w:val="24"/>
                <w:szCs w:val="24"/>
                <w:lang w:eastAsia="tr-TR"/>
              </w:rPr>
              <w:br/>
              <w:t>0 (0%)</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Duration of Response </w:t>
            </w:r>
            <w:r w:rsidRPr="00285196">
              <w:rPr>
                <w:rFonts w:ascii="inherit" w:eastAsia="Times New Roman" w:hAnsi="inherit" w:cs="Times New Roman"/>
                <w:b/>
                <w:bCs/>
                <w:sz w:val="24"/>
                <w:szCs w:val="24"/>
                <w:bdr w:val="none" w:sz="0" w:space="0" w:color="auto" w:frame="1"/>
                <w:lang w:eastAsia="tr-TR"/>
              </w:rPr>
              <w:br/>
            </w:r>
            <w:r w:rsidRPr="00285196">
              <w:rPr>
                <w:rFonts w:ascii="inherit" w:eastAsia="Times New Roman" w:hAnsi="inherit" w:cs="Times New Roman"/>
                <w:sz w:val="24"/>
                <w:szCs w:val="24"/>
                <w:lang w:eastAsia="tr-TR"/>
              </w:rPr>
              <w:t>Median time to (CR+PR) response - Days (range) </w:t>
            </w:r>
            <w:r w:rsidRPr="00285196">
              <w:rPr>
                <w:rFonts w:ascii="inherit" w:eastAsia="Times New Roman" w:hAnsi="inherit" w:cs="Times New Roman"/>
                <w:sz w:val="24"/>
                <w:szCs w:val="24"/>
                <w:lang w:eastAsia="tr-TR"/>
              </w:rPr>
              <w:br/>
              <w:t>Median Duration of (CR+PR) response - Days (range)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93 (55-272)</w:t>
            </w:r>
            <w:r w:rsidRPr="00285196">
              <w:rPr>
                <w:rFonts w:ascii="inherit" w:eastAsia="Times New Roman" w:hAnsi="inherit" w:cs="Times New Roman"/>
                <w:sz w:val="24"/>
                <w:szCs w:val="24"/>
                <w:lang w:eastAsia="tr-TR"/>
              </w:rPr>
              <w:br/>
              <w:t>288 (116-388)</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NA</w:t>
            </w:r>
            <w:r w:rsidRPr="00285196">
              <w:rPr>
                <w:rFonts w:ascii="inherit" w:eastAsia="Times New Roman" w:hAnsi="inherit" w:cs="Times New Roman"/>
                <w:sz w:val="24"/>
                <w:szCs w:val="24"/>
                <w:lang w:eastAsia="tr-TR"/>
              </w:rPr>
              <w:br/>
              <w:t> NA</w:t>
            </w:r>
          </w:p>
        </w:tc>
      </w:tr>
    </w:tbl>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t>**p-value &lt;0.001 from two-sided Fisher’s Exact Test comparing Decitabine For Injection vs. Supportive Care.</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bdr w:val="none" w:sz="0" w:space="0" w:color="auto" w:frame="1"/>
          <w:lang w:eastAsia="tr-TR"/>
        </w:rPr>
        <w:t>†</w:t>
      </w:r>
      <w:r w:rsidRPr="00285196">
        <w:rPr>
          <w:rFonts w:ascii="inherit" w:eastAsia="Times New Roman" w:hAnsi="inherit" w:cs="Arial"/>
          <w:color w:val="222222"/>
          <w:sz w:val="21"/>
          <w:szCs w:val="21"/>
          <w:lang w:eastAsia="tr-TR"/>
        </w:rPr>
        <w:t>In the statistical analysis plan, a p-value of ≤ 0.024 was required to achieve statistical significance.</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All patients with a CR or PR were RBC and platelet transfusion independent in the absence of growth factors.</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Responses occurred in patients with an adjudicated baseline diagnosis of AML.</w:t>
      </w:r>
    </w:p>
    <w:p w:rsidR="00285196" w:rsidRPr="00285196" w:rsidRDefault="00285196" w:rsidP="00285196">
      <w:pPr>
        <w:spacing w:after="0" w:line="270" w:lineRule="atLeast"/>
        <w:ind w:left="600" w:right="150"/>
        <w:textAlignment w:val="baseline"/>
        <w:outlineLvl w:val="1"/>
        <w:rPr>
          <w:rFonts w:ascii="inherit" w:eastAsia="Times New Roman" w:hAnsi="inherit" w:cs="Arial"/>
          <w:b/>
          <w:bCs/>
          <w:color w:val="222222"/>
          <w:sz w:val="36"/>
          <w:szCs w:val="36"/>
          <w:lang w:eastAsia="tr-TR"/>
        </w:rPr>
      </w:pPr>
      <w:bookmarkStart w:id="69" w:name="_cd502dea-7bdc-22f0-127b-44d193ac9671"/>
      <w:bookmarkStart w:id="70" w:name="section-17.2"/>
      <w:bookmarkEnd w:id="69"/>
      <w:bookmarkEnd w:id="70"/>
      <w:r w:rsidRPr="00285196">
        <w:rPr>
          <w:rFonts w:ascii="inherit" w:eastAsia="Times New Roman" w:hAnsi="inherit" w:cs="Arial"/>
          <w:b/>
          <w:bCs/>
          <w:color w:val="222222"/>
          <w:sz w:val="36"/>
          <w:szCs w:val="36"/>
          <w:bdr w:val="none" w:sz="0" w:space="0" w:color="auto" w:frame="1"/>
          <w:lang w:eastAsia="tr-TR"/>
        </w:rPr>
        <w:t>14.2 Single-arm Studies</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 xml:space="preserve">Three open-label, single-arm, multicenter studies were conducted to evaluate the safety and efficacy of decitabine for injection in MDS patients with any of the FAB subtypes. </w:t>
      </w:r>
      <w:proofErr w:type="gramStart"/>
      <w:r w:rsidRPr="00285196">
        <w:rPr>
          <w:rFonts w:ascii="inherit" w:eastAsia="Times New Roman" w:hAnsi="inherit" w:cs="Arial"/>
          <w:color w:val="222222"/>
          <w:sz w:val="21"/>
          <w:szCs w:val="21"/>
          <w:lang w:eastAsia="tr-TR"/>
        </w:rPr>
        <w:t>In one study conducted in North America, 99 patients with IPSS Intermediate-1, Intermediate-2, or high risk prognostic scores received decitabine for injection by intravenous infusion at a dose of 20 mg/m</w:t>
      </w:r>
      <w:r w:rsidRPr="00285196">
        <w:rPr>
          <w:rFonts w:ascii="inherit" w:eastAsia="Times New Roman" w:hAnsi="inherit" w:cs="Arial"/>
          <w:color w:val="222222"/>
          <w:sz w:val="21"/>
          <w:szCs w:val="21"/>
          <w:bdr w:val="none" w:sz="0" w:space="0" w:color="auto" w:frame="1"/>
          <w:lang w:eastAsia="tr-TR"/>
        </w:rPr>
        <w:t>2 </w:t>
      </w:r>
      <w:r w:rsidRPr="00285196">
        <w:rPr>
          <w:rFonts w:ascii="inherit" w:eastAsia="Times New Roman" w:hAnsi="inherit" w:cs="Arial"/>
          <w:color w:val="222222"/>
          <w:sz w:val="21"/>
          <w:szCs w:val="21"/>
          <w:lang w:eastAsia="tr-TR"/>
        </w:rPr>
        <w:t xml:space="preserve">IV over 1-hour daily, on days 1 to 5 of week 1 every 4 weeks (1 cycle). </w:t>
      </w:r>
      <w:proofErr w:type="gramEnd"/>
      <w:r w:rsidRPr="00285196">
        <w:rPr>
          <w:rFonts w:ascii="inherit" w:eastAsia="Times New Roman" w:hAnsi="inherit" w:cs="Arial"/>
          <w:color w:val="222222"/>
          <w:sz w:val="21"/>
          <w:szCs w:val="21"/>
          <w:lang w:eastAsia="tr-TR"/>
        </w:rPr>
        <w:t>The results were consistent with the results of the controlled trial and summarized in Table 8.  </w:t>
      </w:r>
    </w:p>
    <w:p w:rsidR="00285196" w:rsidRPr="00285196" w:rsidRDefault="00285196" w:rsidP="00285196">
      <w:pPr>
        <w:spacing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t>Table 7 Baseline Demographics and Other Patient</w:t>
      </w:r>
    </w:p>
    <w:tbl>
      <w:tblPr>
        <w:tblW w:w="0" w:type="auto"/>
        <w:tblCellMar>
          <w:left w:w="0" w:type="dxa"/>
          <w:right w:w="0" w:type="dxa"/>
        </w:tblCellMar>
        <w:tblLook w:val="04A0" w:firstRow="1" w:lastRow="0" w:firstColumn="1" w:lastColumn="0" w:noHBand="0" w:noVBand="1"/>
      </w:tblPr>
      <w:tblGrid>
        <w:gridCol w:w="4846"/>
        <w:gridCol w:w="2747"/>
      </w:tblGrid>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Demographic or Other Patient Characteristic</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Decitabine For Injection </w:t>
            </w:r>
            <w:r w:rsidRPr="00285196">
              <w:rPr>
                <w:rFonts w:ascii="inherit" w:eastAsia="Times New Roman" w:hAnsi="inherit" w:cs="Times New Roman"/>
                <w:b/>
                <w:bCs/>
                <w:sz w:val="24"/>
                <w:szCs w:val="24"/>
                <w:bdr w:val="none" w:sz="0" w:space="0" w:color="auto" w:frame="1"/>
                <w:lang w:eastAsia="tr-TR"/>
              </w:rPr>
              <w:br/>
              <w:t>N = 99</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Age (years)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Mean (±SD)</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71±9</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Median (Range: min-max)</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72 </w:t>
            </w:r>
            <w:r w:rsidRPr="00285196">
              <w:rPr>
                <w:rFonts w:ascii="inherit" w:eastAsia="Times New Roman" w:hAnsi="inherit" w:cs="Times New Roman"/>
                <w:sz w:val="24"/>
                <w:szCs w:val="24"/>
                <w:lang w:eastAsia="tr-TR"/>
              </w:rPr>
              <w:br/>
              <w:t>(34-87)</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Gender n (%)</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Male</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71 (72)</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Female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28 (28)</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Race n (%)</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White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86 (87)</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Black</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(6)</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Asian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 (4)</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Other</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 (3)</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Days From MDS Diagnosis to First Dose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444±626</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Mean (±SD) Median (Range: min-max)</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154 (7-3079)</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Previous MDS Therapy n (%)</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Yes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27 (27)</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No</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72 (73)</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RBC Transfusion Status n (%) </w:t>
            </w:r>
            <w:r w:rsidRPr="00285196">
              <w:rPr>
                <w:rFonts w:ascii="inherit" w:eastAsia="Times New Roman" w:hAnsi="inherit" w:cs="Times New Roman"/>
                <w:sz w:val="24"/>
                <w:szCs w:val="24"/>
                <w:lang w:eastAsia="tr-TR"/>
              </w:rPr>
              <w:t>Independent</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33 (33)</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Dependent</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66 (67)</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Platelet Transfusion Status n (%)</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Independent</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84 (85)</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Dependent</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15 (15)</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IPSS Classification n (%)</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Low Risk</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 (1)</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Intermediate–1</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52 (53)</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Intermediate–2</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23 (23)</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High Risk</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23 (23)</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FAB Classification n (%)</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 </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RA</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20 (20)</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RARS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17 (17)</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RAEB</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45 (45)</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RAEB-t</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6 (6)</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CMML</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11 (11)</w:t>
            </w:r>
          </w:p>
        </w:tc>
      </w:tr>
    </w:tbl>
    <w:p w:rsidR="00285196" w:rsidRPr="00285196" w:rsidRDefault="00285196" w:rsidP="00285196">
      <w:pPr>
        <w:spacing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t>Table 8 Analysis of Response (ITT)*</w:t>
      </w:r>
    </w:p>
    <w:tbl>
      <w:tblPr>
        <w:tblW w:w="0" w:type="auto"/>
        <w:tblCellMar>
          <w:left w:w="0" w:type="dxa"/>
          <w:right w:w="0" w:type="dxa"/>
        </w:tblCellMar>
        <w:tblLook w:val="04A0" w:firstRow="1" w:lastRow="0" w:firstColumn="1" w:lastColumn="0" w:noHBand="0" w:noVBand="1"/>
      </w:tblPr>
      <w:tblGrid>
        <w:gridCol w:w="5401"/>
        <w:gridCol w:w="2747"/>
      </w:tblGrid>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Parameter</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Decitabine For Injection </w:t>
            </w:r>
            <w:r w:rsidRPr="00285196">
              <w:rPr>
                <w:rFonts w:ascii="inherit" w:eastAsia="Times New Roman" w:hAnsi="inherit" w:cs="Times New Roman"/>
                <w:b/>
                <w:bCs/>
                <w:sz w:val="24"/>
                <w:szCs w:val="24"/>
                <w:bdr w:val="none" w:sz="0" w:space="0" w:color="auto" w:frame="1"/>
                <w:lang w:eastAsia="tr-TR"/>
              </w:rPr>
              <w:br/>
              <w:t>N=99</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Overall Response Rate (CR+PR) </w:t>
            </w:r>
            <w:r w:rsidRPr="00285196">
              <w:rPr>
                <w:rFonts w:ascii="inherit" w:eastAsia="Times New Roman" w:hAnsi="inherit" w:cs="Times New Roman"/>
                <w:b/>
                <w:bCs/>
                <w:sz w:val="24"/>
                <w:szCs w:val="24"/>
                <w:bdr w:val="none" w:sz="0" w:space="0" w:color="auto" w:frame="1"/>
                <w:lang w:eastAsia="tr-TR"/>
              </w:rPr>
              <w:br/>
            </w:r>
            <w:r w:rsidRPr="00285196">
              <w:rPr>
                <w:rFonts w:ascii="inherit" w:eastAsia="Times New Roman" w:hAnsi="inherit" w:cs="Times New Roman"/>
                <w:sz w:val="24"/>
                <w:szCs w:val="24"/>
                <w:lang w:eastAsia="tr-TR"/>
              </w:rPr>
              <w:t>Complete Response (CR) </w:t>
            </w:r>
            <w:r w:rsidRPr="00285196">
              <w:rPr>
                <w:rFonts w:ascii="inherit" w:eastAsia="Times New Roman" w:hAnsi="inherit" w:cs="Times New Roman"/>
                <w:sz w:val="24"/>
                <w:szCs w:val="24"/>
                <w:lang w:eastAsia="tr-TR"/>
              </w:rPr>
              <w:br/>
              <w:t>Partial Response (PR)</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16 (16%) </w:t>
            </w:r>
            <w:r w:rsidRPr="00285196">
              <w:rPr>
                <w:rFonts w:ascii="inherit" w:eastAsia="Times New Roman" w:hAnsi="inherit" w:cs="Times New Roman"/>
                <w:b/>
                <w:bCs/>
                <w:sz w:val="24"/>
                <w:szCs w:val="24"/>
                <w:bdr w:val="none" w:sz="0" w:space="0" w:color="auto" w:frame="1"/>
                <w:lang w:eastAsia="tr-TR"/>
              </w:rPr>
              <w:br/>
            </w:r>
            <w:r w:rsidRPr="00285196">
              <w:rPr>
                <w:rFonts w:ascii="inherit" w:eastAsia="Times New Roman" w:hAnsi="inherit" w:cs="Times New Roman"/>
                <w:sz w:val="24"/>
                <w:szCs w:val="24"/>
                <w:lang w:eastAsia="tr-TR"/>
              </w:rPr>
              <w:t>15 (15%)</w:t>
            </w:r>
            <w:r w:rsidRPr="00285196">
              <w:rPr>
                <w:rFonts w:ascii="inherit" w:eastAsia="Times New Roman" w:hAnsi="inherit" w:cs="Times New Roman"/>
                <w:sz w:val="24"/>
                <w:szCs w:val="24"/>
                <w:lang w:eastAsia="tr-TR"/>
              </w:rPr>
              <w:br/>
              <w:t>1 (1%)</w:t>
            </w:r>
          </w:p>
        </w:tc>
      </w:tr>
      <w:tr w:rsidR="00285196" w:rsidRPr="00285196" w:rsidTr="00285196">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b/>
                <w:bCs/>
                <w:sz w:val="24"/>
                <w:szCs w:val="24"/>
                <w:bdr w:val="none" w:sz="0" w:space="0" w:color="auto" w:frame="1"/>
                <w:lang w:eastAsia="tr-TR"/>
              </w:rPr>
              <w:t>Duration of Response </w:t>
            </w:r>
            <w:r w:rsidRPr="00285196">
              <w:rPr>
                <w:rFonts w:ascii="inherit" w:eastAsia="Times New Roman" w:hAnsi="inherit" w:cs="Times New Roman"/>
                <w:b/>
                <w:bCs/>
                <w:sz w:val="24"/>
                <w:szCs w:val="24"/>
                <w:bdr w:val="none" w:sz="0" w:space="0" w:color="auto" w:frame="1"/>
                <w:lang w:eastAsia="tr-TR"/>
              </w:rPr>
              <w:br/>
            </w:r>
            <w:r w:rsidRPr="00285196">
              <w:rPr>
                <w:rFonts w:ascii="inherit" w:eastAsia="Times New Roman" w:hAnsi="inherit" w:cs="Times New Roman"/>
                <w:sz w:val="24"/>
                <w:szCs w:val="24"/>
                <w:lang w:eastAsia="tr-TR"/>
              </w:rPr>
              <w:t>Median time to (CR+PR) response - Days (range) </w:t>
            </w:r>
            <w:r w:rsidRPr="00285196">
              <w:rPr>
                <w:rFonts w:ascii="inherit" w:eastAsia="Times New Roman" w:hAnsi="inherit" w:cs="Times New Roman"/>
                <w:sz w:val="24"/>
                <w:szCs w:val="24"/>
                <w:lang w:eastAsia="tr-TR"/>
              </w:rPr>
              <w:br/>
              <w:t>Median Duration of (CR+PR) response - Days (range)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162 (50-267)</w:t>
            </w:r>
            <w:r w:rsidRPr="00285196">
              <w:rPr>
                <w:rFonts w:ascii="inherit" w:eastAsia="Times New Roman" w:hAnsi="inherit" w:cs="Times New Roman"/>
                <w:sz w:val="24"/>
                <w:szCs w:val="24"/>
                <w:lang w:eastAsia="tr-TR"/>
              </w:rPr>
              <w:br/>
              <w:t>443 (72-722+)</w:t>
            </w:r>
          </w:p>
        </w:tc>
      </w:tr>
    </w:tbl>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 indicates censored observation</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t>* </w:t>
      </w:r>
      <w:r w:rsidRPr="00285196">
        <w:rPr>
          <w:rFonts w:ascii="inherit" w:eastAsia="Times New Roman" w:hAnsi="inherit" w:cs="Arial"/>
          <w:color w:val="222222"/>
          <w:sz w:val="21"/>
          <w:szCs w:val="21"/>
          <w:lang w:eastAsia="tr-TR"/>
        </w:rPr>
        <w:t xml:space="preserve">Cheson BD, Bennett JM, et al. Report of an International Working Group to Standardize Response Criteria for MDS. Blood. 2000; </w:t>
      </w:r>
      <w:proofErr w:type="gramStart"/>
      <w:r w:rsidRPr="00285196">
        <w:rPr>
          <w:rFonts w:ascii="inherit" w:eastAsia="Times New Roman" w:hAnsi="inherit" w:cs="Arial"/>
          <w:color w:val="222222"/>
          <w:sz w:val="21"/>
          <w:szCs w:val="21"/>
          <w:lang w:eastAsia="tr-TR"/>
        </w:rPr>
        <w:t>96:3671</w:t>
      </w:r>
      <w:proofErr w:type="gramEnd"/>
      <w:r w:rsidRPr="00285196">
        <w:rPr>
          <w:rFonts w:ascii="inherit" w:eastAsia="Times New Roman" w:hAnsi="inherit" w:cs="Arial"/>
          <w:color w:val="222222"/>
          <w:sz w:val="21"/>
          <w:szCs w:val="21"/>
          <w:lang w:eastAsia="tr-TR"/>
        </w:rPr>
        <w:t>-3674.</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28"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2"/>
        </w:numPr>
        <w:spacing w:after="0" w:line="240" w:lineRule="auto"/>
        <w:ind w:left="150" w:right="150"/>
        <w:textAlignment w:val="baseline"/>
        <w:rPr>
          <w:rFonts w:ascii="inherit" w:eastAsia="Times New Roman" w:hAnsi="inherit" w:cs="Arial"/>
          <w:color w:val="222222"/>
          <w:sz w:val="21"/>
          <w:szCs w:val="21"/>
          <w:lang w:eastAsia="tr-TR"/>
        </w:rPr>
      </w:pPr>
      <w:hyperlink r:id="rId129" w:history="1">
        <w:r w:rsidRPr="00285196">
          <w:rPr>
            <w:rFonts w:ascii="Arial" w:eastAsia="Times New Roman" w:hAnsi="Arial" w:cs="Arial"/>
            <w:caps/>
            <w:color w:val="000000"/>
            <w:sz w:val="30"/>
            <w:szCs w:val="30"/>
            <w:u w:val="single"/>
            <w:bdr w:val="none" w:sz="0" w:space="0" w:color="auto" w:frame="1"/>
            <w:lang w:eastAsia="tr-TR"/>
          </w:rPr>
          <w:t>15 REFERENCES</w:t>
        </w:r>
      </w:hyperlink>
    </w:p>
    <w:p w:rsidR="00285196" w:rsidRPr="00285196" w:rsidRDefault="00285196" w:rsidP="00285196">
      <w:pPr>
        <w:numPr>
          <w:ilvl w:val="1"/>
          <w:numId w:val="13"/>
        </w:numPr>
        <w:spacing w:after="0" w:line="240" w:lineRule="auto"/>
        <w:ind w:left="1064" w:right="150" w:hanging="360"/>
        <w:textAlignment w:val="baseline"/>
        <w:rPr>
          <w:rFonts w:ascii="inherit" w:eastAsia="Times New Roman" w:hAnsi="inherit" w:cs="Arial"/>
          <w:color w:val="222222"/>
          <w:sz w:val="21"/>
          <w:szCs w:val="21"/>
          <w:lang w:eastAsia="tr-TR"/>
        </w:rPr>
      </w:pPr>
      <w:bookmarkStart w:id="71" w:name="REFERENCES"/>
      <w:bookmarkStart w:id="72" w:name="section-18"/>
      <w:bookmarkEnd w:id="71"/>
      <w:bookmarkEnd w:id="72"/>
      <w:r w:rsidRPr="00285196">
        <w:rPr>
          <w:rFonts w:ascii="inherit" w:eastAsia="Times New Roman" w:hAnsi="inherit" w:cs="Arial"/>
          <w:color w:val="222222"/>
          <w:sz w:val="21"/>
          <w:szCs w:val="21"/>
          <w:lang w:eastAsia="tr-TR"/>
        </w:rPr>
        <w:t>NIOSH Alert: Preventing occupational exposures to antineoplastic and other hazardous drugs in healthcare settings. 2004. U.S. Department of Health and Human Services, Public Health Service, Centers for Disease Control and Prevention, National Institute for Occupational Safety and Health, DHHS (NIOSH) Publication No. 2004-165.</w:t>
      </w:r>
    </w:p>
    <w:p w:rsidR="00285196" w:rsidRPr="00285196" w:rsidRDefault="00285196" w:rsidP="00285196">
      <w:pPr>
        <w:numPr>
          <w:ilvl w:val="1"/>
          <w:numId w:val="13"/>
        </w:numPr>
        <w:spacing w:after="0" w:line="240" w:lineRule="auto"/>
        <w:ind w:left="1064" w:right="150" w:hanging="36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OSHA Technical Manual, TED 1-0.15A, Section VI: Chapter  2. Controlling Occupational Exposure to Hazardous Drugs. OSHA, 1999. http://www.osha.gov/dts/osta/otm/otm_vi/otm_vi_2.html</w:t>
      </w:r>
    </w:p>
    <w:p w:rsidR="00285196" w:rsidRPr="00285196" w:rsidRDefault="00285196" w:rsidP="00285196">
      <w:pPr>
        <w:numPr>
          <w:ilvl w:val="1"/>
          <w:numId w:val="13"/>
        </w:numPr>
        <w:spacing w:after="0" w:line="240" w:lineRule="auto"/>
        <w:ind w:left="1064" w:right="150" w:hanging="36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American Society of Health-System Pharmacists. ASHP Guidelines on Handling Hazardous Drugs: Am J Health-Syst Pharm. 2006;</w:t>
      </w:r>
      <w:proofErr w:type="gramStart"/>
      <w:r w:rsidRPr="00285196">
        <w:rPr>
          <w:rFonts w:ascii="inherit" w:eastAsia="Times New Roman" w:hAnsi="inherit" w:cs="Arial"/>
          <w:color w:val="222222"/>
          <w:sz w:val="21"/>
          <w:szCs w:val="21"/>
          <w:lang w:eastAsia="tr-TR"/>
        </w:rPr>
        <w:t>63:1172</w:t>
      </w:r>
      <w:proofErr w:type="gramEnd"/>
      <w:r w:rsidRPr="00285196">
        <w:rPr>
          <w:rFonts w:ascii="inherit" w:eastAsia="Times New Roman" w:hAnsi="inherit" w:cs="Arial"/>
          <w:color w:val="222222"/>
          <w:sz w:val="21"/>
          <w:szCs w:val="21"/>
          <w:lang w:eastAsia="tr-TR"/>
        </w:rPr>
        <w:t>-1193.  </w:t>
      </w:r>
    </w:p>
    <w:p w:rsidR="00285196" w:rsidRPr="00285196" w:rsidRDefault="00285196" w:rsidP="00285196">
      <w:pPr>
        <w:numPr>
          <w:ilvl w:val="1"/>
          <w:numId w:val="13"/>
        </w:numPr>
        <w:spacing w:after="0" w:line="240" w:lineRule="auto"/>
        <w:ind w:left="1064" w:right="150" w:hanging="36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Polovich M</w:t>
      </w:r>
      <w:proofErr w:type="gramStart"/>
      <w:r w:rsidRPr="00285196">
        <w:rPr>
          <w:rFonts w:ascii="inherit" w:eastAsia="Times New Roman" w:hAnsi="inherit" w:cs="Arial"/>
          <w:color w:val="222222"/>
          <w:sz w:val="21"/>
          <w:szCs w:val="21"/>
          <w:lang w:eastAsia="tr-TR"/>
        </w:rPr>
        <w:t>.,</w:t>
      </w:r>
      <w:proofErr w:type="gramEnd"/>
      <w:r w:rsidRPr="00285196">
        <w:rPr>
          <w:rFonts w:ascii="inherit" w:eastAsia="Times New Roman" w:hAnsi="inherit" w:cs="Arial"/>
          <w:color w:val="222222"/>
          <w:sz w:val="21"/>
          <w:szCs w:val="21"/>
          <w:lang w:eastAsia="tr-TR"/>
        </w:rPr>
        <w:t xml:space="preserve"> White JM, Kelleher LO (eds). Chemotherapy and biotherapy guidelines and recommendations for practice (2nd ed.) 2005. Pittsburgh, PA: Oncology Nursing Society.</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30"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3"/>
        </w:numPr>
        <w:spacing w:after="0" w:line="240" w:lineRule="auto"/>
        <w:ind w:left="150" w:right="150"/>
        <w:textAlignment w:val="baseline"/>
        <w:rPr>
          <w:rFonts w:ascii="inherit" w:eastAsia="Times New Roman" w:hAnsi="inherit" w:cs="Arial"/>
          <w:color w:val="222222"/>
          <w:sz w:val="21"/>
          <w:szCs w:val="21"/>
          <w:lang w:eastAsia="tr-TR"/>
        </w:rPr>
      </w:pPr>
      <w:hyperlink r:id="rId131" w:history="1">
        <w:r w:rsidRPr="00285196">
          <w:rPr>
            <w:rFonts w:ascii="Arial" w:eastAsia="Times New Roman" w:hAnsi="Arial" w:cs="Arial"/>
            <w:caps/>
            <w:color w:val="000000"/>
            <w:sz w:val="30"/>
            <w:szCs w:val="30"/>
            <w:u w:val="single"/>
            <w:bdr w:val="none" w:sz="0" w:space="0" w:color="auto" w:frame="1"/>
            <w:lang w:eastAsia="tr-TR"/>
          </w:rPr>
          <w:t>16 HOW SUPPLIED/STORAGE AND HANDLING</w:t>
        </w:r>
      </w:hyperlink>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bookmarkStart w:id="73" w:name="HOW_SUPPLIED"/>
      <w:bookmarkStart w:id="74" w:name="section-19"/>
      <w:bookmarkEnd w:id="73"/>
      <w:bookmarkEnd w:id="74"/>
      <w:r w:rsidRPr="00285196">
        <w:rPr>
          <w:rFonts w:ascii="inherit" w:eastAsia="Times New Roman" w:hAnsi="inherit" w:cs="Arial"/>
          <w:color w:val="222222"/>
          <w:sz w:val="21"/>
          <w:szCs w:val="21"/>
          <w:lang w:eastAsia="tr-TR"/>
        </w:rPr>
        <w:t xml:space="preserve">Decitabine for injection is a white to almost white </w:t>
      </w:r>
      <w:proofErr w:type="gramStart"/>
      <w:r w:rsidRPr="00285196">
        <w:rPr>
          <w:rFonts w:ascii="inherit" w:eastAsia="Times New Roman" w:hAnsi="inherit" w:cs="Arial"/>
          <w:color w:val="222222"/>
          <w:sz w:val="21"/>
          <w:szCs w:val="21"/>
          <w:lang w:eastAsia="tr-TR"/>
        </w:rPr>
        <w:t>sterile</w:t>
      </w:r>
      <w:proofErr w:type="gramEnd"/>
      <w:r w:rsidRPr="00285196">
        <w:rPr>
          <w:rFonts w:ascii="inherit" w:eastAsia="Times New Roman" w:hAnsi="inherit" w:cs="Arial"/>
          <w:color w:val="222222"/>
          <w:sz w:val="21"/>
          <w:szCs w:val="21"/>
          <w:lang w:eastAsia="tr-TR"/>
        </w:rPr>
        <w:t xml:space="preserve"> lyophilized powder supplied as 50 mg single-dose vial individually packaged in a carton. NDC 43598-427-37 </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t>Storage </w:t>
      </w:r>
      <w:r w:rsidRPr="00285196">
        <w:rPr>
          <w:rFonts w:ascii="inherit" w:eastAsia="Times New Roman" w:hAnsi="inherit" w:cs="Arial"/>
          <w:color w:val="222222"/>
          <w:sz w:val="21"/>
          <w:szCs w:val="21"/>
          <w:lang w:eastAsia="tr-TR"/>
        </w:rPr>
        <w:t>Store vials at 20°-25°C (68°-77°F); [See USP Controlled Room Temperature].</w:t>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32"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3"/>
        </w:numPr>
        <w:spacing w:after="0" w:line="240" w:lineRule="auto"/>
        <w:ind w:left="150" w:right="150"/>
        <w:textAlignment w:val="baseline"/>
        <w:rPr>
          <w:rFonts w:ascii="inherit" w:eastAsia="Times New Roman" w:hAnsi="inherit" w:cs="Arial"/>
          <w:color w:val="222222"/>
          <w:sz w:val="21"/>
          <w:szCs w:val="21"/>
          <w:lang w:eastAsia="tr-TR"/>
        </w:rPr>
      </w:pPr>
      <w:hyperlink r:id="rId133" w:history="1">
        <w:r w:rsidRPr="00285196">
          <w:rPr>
            <w:rFonts w:ascii="Arial" w:eastAsia="Times New Roman" w:hAnsi="Arial" w:cs="Arial"/>
            <w:caps/>
            <w:color w:val="000000"/>
            <w:sz w:val="30"/>
            <w:szCs w:val="30"/>
            <w:u w:val="single"/>
            <w:bdr w:val="none" w:sz="0" w:space="0" w:color="auto" w:frame="1"/>
            <w:lang w:eastAsia="tr-TR"/>
          </w:rPr>
          <w:t>17 PATIENT COUNSELING INFORMATION</w:t>
        </w:r>
      </w:hyperlink>
    </w:p>
    <w:p w:rsidR="00285196" w:rsidRPr="00285196" w:rsidRDefault="00285196" w:rsidP="00285196">
      <w:pPr>
        <w:spacing w:after="0" w:line="270" w:lineRule="atLeast"/>
        <w:ind w:left="600" w:right="150"/>
        <w:textAlignment w:val="baseline"/>
        <w:outlineLvl w:val="1"/>
        <w:rPr>
          <w:rFonts w:ascii="inherit" w:eastAsia="Times New Roman" w:hAnsi="inherit" w:cs="Arial"/>
          <w:b/>
          <w:bCs/>
          <w:color w:val="222222"/>
          <w:sz w:val="36"/>
          <w:szCs w:val="36"/>
          <w:lang w:eastAsia="tr-TR"/>
        </w:rPr>
      </w:pPr>
      <w:bookmarkStart w:id="75" w:name="INFORMATION_FOR_PATIENTS"/>
      <w:bookmarkStart w:id="76" w:name="section-20"/>
      <w:bookmarkStart w:id="77" w:name="_c92f4c8c-b202-6c5e-9002-36bfeb3a0c0d"/>
      <w:bookmarkStart w:id="78" w:name="section-20.1"/>
      <w:bookmarkEnd w:id="75"/>
      <w:bookmarkEnd w:id="76"/>
      <w:bookmarkEnd w:id="77"/>
      <w:bookmarkEnd w:id="78"/>
      <w:r w:rsidRPr="00285196">
        <w:rPr>
          <w:rFonts w:ascii="inherit" w:eastAsia="Times New Roman" w:hAnsi="inherit" w:cs="Arial"/>
          <w:b/>
          <w:bCs/>
          <w:color w:val="222222"/>
          <w:sz w:val="36"/>
          <w:szCs w:val="36"/>
          <w:bdr w:val="none" w:sz="0" w:space="0" w:color="auto" w:frame="1"/>
          <w:lang w:eastAsia="tr-TR"/>
        </w:rPr>
        <w:t>17.1 Instructions for Patients</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Women of childbearing potential should be advised to avoid becoming pregnant while receiving treatment with decitabine for injection and for I month afterwards, and to use effective contraception during this time, [See </w:t>
      </w:r>
      <w:r w:rsidRPr="00285196">
        <w:rPr>
          <w:rFonts w:ascii="inherit" w:eastAsia="Times New Roman" w:hAnsi="inherit" w:cs="Arial"/>
          <w:b/>
          <w:bCs/>
          <w:color w:val="222222"/>
          <w:sz w:val="21"/>
          <w:szCs w:val="21"/>
          <w:bdr w:val="none" w:sz="0" w:space="0" w:color="auto" w:frame="1"/>
          <w:lang w:eastAsia="tr-TR"/>
        </w:rPr>
        <w:t>Warnings and Precautions (</w:t>
      </w:r>
      <w:hyperlink r:id="rId134" w:anchor="_0976f89f-da44-fa42-d3d6-7e0f1931fcec" w:history="1">
        <w:proofErr w:type="gramStart"/>
        <w:r w:rsidRPr="00285196">
          <w:rPr>
            <w:rFonts w:ascii="Arial" w:eastAsia="Times New Roman" w:hAnsi="Arial" w:cs="Arial"/>
            <w:b/>
            <w:bCs/>
            <w:caps/>
            <w:color w:val="1D86BB"/>
            <w:sz w:val="21"/>
            <w:szCs w:val="21"/>
            <w:u w:val="single"/>
            <w:bdr w:val="none" w:sz="0" w:space="0" w:color="auto" w:frame="1"/>
            <w:lang w:eastAsia="tr-TR"/>
          </w:rPr>
          <w:t>5.3</w:t>
        </w:r>
        <w:proofErr w:type="gramEnd"/>
        <w:r w:rsidRPr="00285196">
          <w:rPr>
            <w:rFonts w:ascii="Arial" w:eastAsia="Times New Roman" w:hAnsi="Arial" w:cs="Arial"/>
            <w:b/>
            <w:bCs/>
            <w:caps/>
            <w:color w:val="1D86BB"/>
            <w:sz w:val="21"/>
            <w:szCs w:val="21"/>
            <w:u w:val="single"/>
            <w:bdr w:val="none" w:sz="0" w:space="0" w:color="auto" w:frame="1"/>
            <w:lang w:eastAsia="tr-TR"/>
          </w:rPr>
          <w:t>)</w:t>
        </w:r>
      </w:hyperlink>
      <w:r w:rsidRPr="00285196">
        <w:rPr>
          <w:rFonts w:ascii="inherit" w:eastAsia="Times New Roman" w:hAnsi="inherit" w:cs="Arial"/>
          <w:color w:val="222222"/>
          <w:sz w:val="21"/>
          <w:szCs w:val="21"/>
          <w:lang w:eastAsia="tr-TR"/>
        </w:rPr>
        <w:t>].  Men should be advised not to father a child while receiving treatment with decitabine for injection, and for 2 months afterwards. During these times, men with female partners of childbearing potential should use effective contraception [See </w:t>
      </w:r>
      <w:r w:rsidRPr="00285196">
        <w:rPr>
          <w:rFonts w:ascii="inherit" w:eastAsia="Times New Roman" w:hAnsi="inherit" w:cs="Arial"/>
          <w:b/>
          <w:bCs/>
          <w:color w:val="222222"/>
          <w:sz w:val="21"/>
          <w:szCs w:val="21"/>
          <w:bdr w:val="none" w:sz="0" w:space="0" w:color="auto" w:frame="1"/>
          <w:lang w:eastAsia="tr-TR"/>
        </w:rPr>
        <w:t>Warnings and Precautions </w:t>
      </w:r>
      <w:hyperlink r:id="rId135" w:anchor="_16d3dcfc-cd28-5aef-3c56-5b09bc2b417a" w:history="1">
        <w:r w:rsidRPr="00285196">
          <w:rPr>
            <w:rFonts w:ascii="Arial" w:eastAsia="Times New Roman" w:hAnsi="Arial" w:cs="Arial"/>
            <w:b/>
            <w:bCs/>
            <w:caps/>
            <w:color w:val="1D86BB"/>
            <w:sz w:val="21"/>
            <w:szCs w:val="21"/>
            <w:u w:val="single"/>
            <w:bdr w:val="none" w:sz="0" w:space="0" w:color="auto" w:frame="1"/>
            <w:lang w:eastAsia="tr-TR"/>
          </w:rPr>
          <w:t>(</w:t>
        </w:r>
        <w:proofErr w:type="gramStart"/>
        <w:r w:rsidRPr="00285196">
          <w:rPr>
            <w:rFonts w:ascii="Arial" w:eastAsia="Times New Roman" w:hAnsi="Arial" w:cs="Arial"/>
            <w:b/>
            <w:bCs/>
            <w:caps/>
            <w:color w:val="1D86BB"/>
            <w:sz w:val="21"/>
            <w:szCs w:val="21"/>
            <w:u w:val="single"/>
            <w:bdr w:val="none" w:sz="0" w:space="0" w:color="auto" w:frame="1"/>
            <w:lang w:eastAsia="tr-TR"/>
          </w:rPr>
          <w:t>5.4</w:t>
        </w:r>
        <w:proofErr w:type="gramEnd"/>
      </w:hyperlink>
      <w:hyperlink r:id="rId136" w:anchor="CARCINOGENESIS_AND_MUTAGENESIS_AND_IMPAIRMENT_OF_FERTILITY" w:history="1">
        <w:r w:rsidRPr="00285196">
          <w:rPr>
            <w:rFonts w:ascii="Arial" w:eastAsia="Times New Roman" w:hAnsi="Arial" w:cs="Arial"/>
            <w:b/>
            <w:bCs/>
            <w:caps/>
            <w:color w:val="1D86BB"/>
            <w:sz w:val="21"/>
            <w:szCs w:val="21"/>
            <w:u w:val="single"/>
            <w:bdr w:val="none" w:sz="0" w:space="0" w:color="auto" w:frame="1"/>
            <w:lang w:eastAsia="tr-TR"/>
          </w:rPr>
          <w:t>) AND NONCLINICAL TOXICOLOGY (13.1)</w:t>
        </w:r>
      </w:hyperlink>
      <w:r w:rsidRPr="00285196">
        <w:rPr>
          <w:rFonts w:ascii="inherit" w:eastAsia="Times New Roman" w:hAnsi="inherit" w:cs="Arial"/>
          <w:color w:val="222222"/>
          <w:sz w:val="21"/>
          <w:szCs w:val="21"/>
          <w:lang w:eastAsia="tr-TR"/>
        </w:rPr>
        <w:t>]. Patients should be advised to monitor and report any symptoms of neutropenia, thrombocytopenia, or fever to their physician as soon as possible [See </w:t>
      </w:r>
      <w:r w:rsidRPr="00285196">
        <w:rPr>
          <w:rFonts w:ascii="inherit" w:eastAsia="Times New Roman" w:hAnsi="inherit" w:cs="Arial"/>
          <w:b/>
          <w:bCs/>
          <w:color w:val="222222"/>
          <w:sz w:val="21"/>
          <w:szCs w:val="21"/>
          <w:bdr w:val="none" w:sz="0" w:space="0" w:color="auto" w:frame="1"/>
          <w:lang w:eastAsia="tr-TR"/>
        </w:rPr>
        <w:t>Warnings and Precautions </w:t>
      </w:r>
      <w:r w:rsidRPr="00285196">
        <w:rPr>
          <w:rFonts w:ascii="inherit" w:eastAsia="Times New Roman" w:hAnsi="inherit" w:cs="Arial"/>
          <w:color w:val="222222"/>
          <w:sz w:val="21"/>
          <w:szCs w:val="21"/>
          <w:bdr w:val="none" w:sz="0" w:space="0" w:color="auto" w:frame="1"/>
          <w:lang w:eastAsia="tr-TR"/>
        </w:rPr>
        <w:t>(</w:t>
      </w:r>
      <w:hyperlink r:id="rId137" w:anchor="_56758604-e935-0b0e-1cc7-5cd9d17876ba" w:history="1">
        <w:proofErr w:type="gramStart"/>
        <w:r w:rsidRPr="00285196">
          <w:rPr>
            <w:rFonts w:ascii="Arial" w:eastAsia="Times New Roman" w:hAnsi="Arial" w:cs="Arial"/>
            <w:caps/>
            <w:color w:val="1D86BB"/>
            <w:sz w:val="21"/>
            <w:szCs w:val="21"/>
            <w:u w:val="single"/>
            <w:bdr w:val="none" w:sz="0" w:space="0" w:color="auto" w:frame="1"/>
            <w:lang w:eastAsia="tr-TR"/>
          </w:rPr>
          <w:t>5.1</w:t>
        </w:r>
        <w:proofErr w:type="gramEnd"/>
        <w:r w:rsidRPr="00285196">
          <w:rPr>
            <w:rFonts w:ascii="Arial" w:eastAsia="Times New Roman" w:hAnsi="Arial" w:cs="Arial"/>
            <w:caps/>
            <w:color w:val="1D86BB"/>
            <w:sz w:val="21"/>
            <w:szCs w:val="21"/>
            <w:bdr w:val="none" w:sz="0" w:space="0" w:color="auto" w:frame="1"/>
            <w:lang w:eastAsia="tr-TR"/>
          </w:rPr>
          <w:t> </w:t>
        </w:r>
      </w:hyperlink>
      <w:r w:rsidRPr="00285196">
        <w:rPr>
          <w:rFonts w:ascii="inherit" w:eastAsia="Times New Roman" w:hAnsi="inherit" w:cs="Arial"/>
          <w:color w:val="222222"/>
          <w:sz w:val="21"/>
          <w:szCs w:val="21"/>
          <w:bdr w:val="none" w:sz="0" w:space="0" w:color="auto" w:frame="1"/>
          <w:lang w:eastAsia="tr-TR"/>
        </w:rPr>
        <w:t>)]</w:t>
      </w:r>
      <w:r w:rsidRPr="00285196">
        <w:rPr>
          <w:rFonts w:ascii="inherit" w:eastAsia="Times New Roman" w:hAnsi="inherit" w:cs="Arial"/>
          <w:color w:val="222222"/>
          <w:sz w:val="21"/>
          <w:szCs w:val="21"/>
          <w:lang w:eastAsia="tr-TR"/>
        </w:rPr>
        <w:t>.</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Rx Only</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Mfd. For: </w:t>
      </w:r>
      <w:r w:rsidRPr="00285196">
        <w:rPr>
          <w:rFonts w:ascii="inherit" w:eastAsia="Times New Roman" w:hAnsi="inherit" w:cs="Arial"/>
          <w:b/>
          <w:bCs/>
          <w:color w:val="222222"/>
          <w:sz w:val="21"/>
          <w:szCs w:val="21"/>
          <w:bdr w:val="none" w:sz="0" w:space="0" w:color="auto" w:frame="1"/>
          <w:lang w:eastAsia="tr-TR"/>
        </w:rPr>
        <w:t>Dr.Reddy's Laboratories Limited</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By: </w:t>
      </w:r>
      <w:r w:rsidRPr="00285196">
        <w:rPr>
          <w:rFonts w:ascii="inherit" w:eastAsia="Times New Roman" w:hAnsi="inherit" w:cs="Arial"/>
          <w:b/>
          <w:bCs/>
          <w:color w:val="222222"/>
          <w:sz w:val="21"/>
          <w:szCs w:val="21"/>
          <w:bdr w:val="none" w:sz="0" w:space="0" w:color="auto" w:frame="1"/>
          <w:lang w:eastAsia="tr-TR"/>
        </w:rPr>
        <w:t>Cipla Limited</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proofErr w:type="gramStart"/>
      <w:r w:rsidRPr="00285196">
        <w:rPr>
          <w:rFonts w:ascii="inherit" w:eastAsia="Times New Roman" w:hAnsi="inherit" w:cs="Arial"/>
          <w:color w:val="222222"/>
          <w:sz w:val="21"/>
          <w:szCs w:val="21"/>
          <w:lang w:eastAsia="tr-TR"/>
        </w:rPr>
        <w:t>at</w:t>
      </w:r>
      <w:proofErr w:type="gramEnd"/>
      <w:r w:rsidRPr="00285196">
        <w:rPr>
          <w:rFonts w:ascii="inherit" w:eastAsia="Times New Roman" w:hAnsi="inherit" w:cs="Arial"/>
          <w:color w:val="222222"/>
          <w:sz w:val="21"/>
          <w:szCs w:val="21"/>
          <w:lang w:eastAsia="tr-TR"/>
        </w:rPr>
        <w:t xml:space="preserve"> S-103 to S-105 &amp; S-107 to S-112,</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Verna Industrial Estate,</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Verna Goa-403722 INDIA.</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Distributor:</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t>Dr.Reddy’s Laboratories Inc</w:t>
      </w:r>
      <w:proofErr w:type="gramStart"/>
      <w:r w:rsidRPr="00285196">
        <w:rPr>
          <w:rFonts w:ascii="inherit" w:eastAsia="Times New Roman" w:hAnsi="inherit" w:cs="Arial"/>
          <w:b/>
          <w:bCs/>
          <w:color w:val="222222"/>
          <w:sz w:val="21"/>
          <w:szCs w:val="21"/>
          <w:bdr w:val="none" w:sz="0" w:space="0" w:color="auto" w:frame="1"/>
          <w:lang w:eastAsia="tr-TR"/>
        </w:rPr>
        <w:t>.,</w:t>
      </w:r>
      <w:proofErr w:type="gramEnd"/>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Princeton, NJ 08540</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b/>
          <w:bCs/>
          <w:color w:val="222222"/>
          <w:sz w:val="21"/>
          <w:szCs w:val="21"/>
          <w:bdr w:val="none" w:sz="0" w:space="0" w:color="auto" w:frame="1"/>
          <w:lang w:eastAsia="tr-TR"/>
        </w:rPr>
        <w:t>PREMIERProTM Rx is a trademark of Premier, Inc</w:t>
      </w:r>
      <w:proofErr w:type="gramStart"/>
      <w:r w:rsidRPr="00285196">
        <w:rPr>
          <w:rFonts w:ascii="inherit" w:eastAsia="Times New Roman" w:hAnsi="inherit" w:cs="Arial"/>
          <w:b/>
          <w:bCs/>
          <w:color w:val="222222"/>
          <w:sz w:val="21"/>
          <w:szCs w:val="21"/>
          <w:bdr w:val="none" w:sz="0" w:space="0" w:color="auto" w:frame="1"/>
          <w:lang w:eastAsia="tr-TR"/>
        </w:rPr>
        <w:t>.,</w:t>
      </w:r>
      <w:proofErr w:type="gramEnd"/>
      <w:r w:rsidRPr="00285196">
        <w:rPr>
          <w:rFonts w:ascii="inherit" w:eastAsia="Times New Roman" w:hAnsi="inherit" w:cs="Arial"/>
          <w:b/>
          <w:bCs/>
          <w:color w:val="222222"/>
          <w:sz w:val="21"/>
          <w:szCs w:val="21"/>
          <w:bdr w:val="none" w:sz="0" w:space="0" w:color="auto" w:frame="1"/>
          <w:lang w:eastAsia="tr-TR"/>
        </w:rPr>
        <w:t xml:space="preserve"> used under license</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t>Issued: 0714</w:t>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color w:val="222222"/>
          <w:sz w:val="21"/>
          <w:szCs w:val="21"/>
          <w:lang w:eastAsia="tr-TR"/>
        </w:rPr>
        <w:br/>
      </w:r>
      <w:r w:rsidRPr="00285196">
        <w:rPr>
          <w:rFonts w:ascii="inherit" w:eastAsia="Times New Roman" w:hAnsi="inherit" w:cs="Arial"/>
          <w:color w:val="222222"/>
          <w:sz w:val="21"/>
          <w:szCs w:val="21"/>
          <w:lang w:eastAsia="tr-TR"/>
        </w:rPr>
        <w:br/>
      </w:r>
      <w:r w:rsidRPr="00285196">
        <w:rPr>
          <w:rFonts w:ascii="inherit" w:eastAsia="Times New Roman" w:hAnsi="inherit" w:cs="Arial"/>
          <w:color w:val="222222"/>
          <w:sz w:val="21"/>
          <w:szCs w:val="21"/>
          <w:lang w:eastAsia="tr-TR"/>
        </w:rPr>
        <w:br/>
      </w:r>
    </w:p>
    <w:p w:rsidR="00285196" w:rsidRPr="00285196" w:rsidRDefault="00285196" w:rsidP="00285196">
      <w:pPr>
        <w:spacing w:after="0" w:line="240" w:lineRule="auto"/>
        <w:ind w:left="600" w:right="150"/>
        <w:textAlignment w:val="baseline"/>
        <w:rPr>
          <w:rFonts w:ascii="inherit" w:eastAsia="Times New Roman" w:hAnsi="inherit" w:cs="Arial"/>
          <w:color w:val="222222"/>
          <w:sz w:val="21"/>
          <w:szCs w:val="21"/>
          <w:lang w:eastAsia="tr-TR"/>
        </w:rPr>
      </w:pP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38"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3"/>
        </w:numPr>
        <w:spacing w:after="0" w:line="240" w:lineRule="auto"/>
        <w:ind w:left="150" w:right="150"/>
        <w:textAlignment w:val="baseline"/>
        <w:rPr>
          <w:rFonts w:ascii="inherit" w:eastAsia="Times New Roman" w:hAnsi="inherit" w:cs="Arial"/>
          <w:color w:val="222222"/>
          <w:sz w:val="21"/>
          <w:szCs w:val="21"/>
          <w:lang w:eastAsia="tr-TR"/>
        </w:rPr>
      </w:pPr>
      <w:hyperlink r:id="rId139" w:history="1">
        <w:r w:rsidRPr="00285196">
          <w:rPr>
            <w:rFonts w:ascii="Arial" w:eastAsia="Times New Roman" w:hAnsi="Arial" w:cs="Arial"/>
            <w:caps/>
            <w:color w:val="000000"/>
            <w:sz w:val="30"/>
            <w:szCs w:val="30"/>
            <w:u w:val="single"/>
            <w:bdr w:val="none" w:sz="0" w:space="0" w:color="auto" w:frame="1"/>
            <w:lang w:eastAsia="tr-TR"/>
          </w:rPr>
          <w:t xml:space="preserve">PACKAGE </w:t>
        </w:r>
        <w:proofErr w:type="gramStart"/>
        <w:r w:rsidRPr="00285196">
          <w:rPr>
            <w:rFonts w:ascii="Arial" w:eastAsia="Times New Roman" w:hAnsi="Arial" w:cs="Arial"/>
            <w:caps/>
            <w:color w:val="000000"/>
            <w:sz w:val="30"/>
            <w:szCs w:val="30"/>
            <w:u w:val="single"/>
            <w:bdr w:val="none" w:sz="0" w:space="0" w:color="auto" w:frame="1"/>
            <w:lang w:eastAsia="tr-TR"/>
          </w:rPr>
          <w:t>LABEL.PRINCIPAL</w:t>
        </w:r>
        <w:proofErr w:type="gramEnd"/>
        <w:r w:rsidRPr="00285196">
          <w:rPr>
            <w:rFonts w:ascii="Arial" w:eastAsia="Times New Roman" w:hAnsi="Arial" w:cs="Arial"/>
            <w:caps/>
            <w:color w:val="000000"/>
            <w:sz w:val="30"/>
            <w:szCs w:val="30"/>
            <w:u w:val="single"/>
            <w:bdr w:val="none" w:sz="0" w:space="0" w:color="auto" w:frame="1"/>
            <w:lang w:eastAsia="tr-TR"/>
          </w:rPr>
          <w:t xml:space="preserve"> DISPLAY PANEL SECTION</w:t>
        </w:r>
      </w:hyperlink>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bookmarkStart w:id="79" w:name="_c8e06904-ed66-d94d-8e94-7ffb97b798d9"/>
      <w:bookmarkStart w:id="80" w:name="section-21"/>
      <w:bookmarkEnd w:id="79"/>
      <w:bookmarkEnd w:id="80"/>
      <w:r w:rsidRPr="00285196">
        <w:rPr>
          <w:rFonts w:ascii="inherit" w:eastAsia="Times New Roman" w:hAnsi="inherit" w:cs="Arial"/>
          <w:color w:val="222222"/>
          <w:sz w:val="21"/>
          <w:szCs w:val="21"/>
          <w:lang w:eastAsia="tr-TR"/>
        </w:rPr>
        <w:t>Vial</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noProof/>
          <w:color w:val="222222"/>
          <w:sz w:val="21"/>
          <w:szCs w:val="21"/>
          <w:lang w:eastAsia="tr-TR"/>
        </w:rPr>
        <w:drawing>
          <wp:inline distT="0" distB="0" distL="0" distR="0" wp14:anchorId="078C84AF" wp14:editId="34CAD3A4">
            <wp:extent cx="6924675" cy="2857500"/>
            <wp:effectExtent l="0" t="0" r="9525" b="0"/>
            <wp:docPr id="5" name="Resim 5" descr="v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vial"/>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924675" cy="2857500"/>
                    </a:xfrm>
                    <a:prstGeom prst="rect">
                      <a:avLst/>
                    </a:prstGeom>
                    <a:noFill/>
                    <a:ln>
                      <a:noFill/>
                    </a:ln>
                  </pic:spPr>
                </pic:pic>
              </a:graphicData>
            </a:graphic>
          </wp:inline>
        </w:drawing>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40"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3"/>
        </w:numPr>
        <w:spacing w:after="0" w:line="240" w:lineRule="auto"/>
        <w:ind w:left="150" w:right="150"/>
        <w:textAlignment w:val="baseline"/>
        <w:rPr>
          <w:rFonts w:ascii="inherit" w:eastAsia="Times New Roman" w:hAnsi="inherit" w:cs="Arial"/>
          <w:color w:val="222222"/>
          <w:sz w:val="21"/>
          <w:szCs w:val="21"/>
          <w:lang w:eastAsia="tr-TR"/>
        </w:rPr>
      </w:pPr>
      <w:hyperlink r:id="rId141" w:history="1">
        <w:r w:rsidRPr="00285196">
          <w:rPr>
            <w:rFonts w:ascii="Arial" w:eastAsia="Times New Roman" w:hAnsi="Arial" w:cs="Arial"/>
            <w:caps/>
            <w:color w:val="000000"/>
            <w:sz w:val="30"/>
            <w:szCs w:val="30"/>
            <w:u w:val="single"/>
            <w:bdr w:val="none" w:sz="0" w:space="0" w:color="auto" w:frame="1"/>
            <w:lang w:eastAsia="tr-TR"/>
          </w:rPr>
          <w:t>PRINCIPAL DISPLAY PANEL</w:t>
        </w:r>
      </w:hyperlink>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bookmarkStart w:id="81" w:name="_511cdd6a-bc33-1c27-b152-ac30b5f425de"/>
      <w:bookmarkStart w:id="82" w:name="section-22"/>
      <w:bookmarkEnd w:id="81"/>
      <w:bookmarkEnd w:id="82"/>
      <w:r w:rsidRPr="00285196">
        <w:rPr>
          <w:rFonts w:ascii="inherit" w:eastAsia="Times New Roman" w:hAnsi="inherit" w:cs="Arial"/>
          <w:color w:val="222222"/>
          <w:sz w:val="21"/>
          <w:szCs w:val="21"/>
          <w:lang w:eastAsia="tr-TR"/>
        </w:rPr>
        <w:t>Vial Carton</w:t>
      </w:r>
    </w:p>
    <w:p w:rsidR="00285196" w:rsidRPr="00285196" w:rsidRDefault="00285196" w:rsidP="00285196">
      <w:pPr>
        <w:spacing w:after="192" w:line="240" w:lineRule="auto"/>
        <w:ind w:left="600" w:right="150"/>
        <w:textAlignment w:val="baseline"/>
        <w:rPr>
          <w:rFonts w:ascii="inherit" w:eastAsia="Times New Roman" w:hAnsi="inherit" w:cs="Arial"/>
          <w:color w:val="222222"/>
          <w:sz w:val="21"/>
          <w:szCs w:val="21"/>
          <w:lang w:eastAsia="tr-TR"/>
        </w:rPr>
      </w:pPr>
      <w:r w:rsidRPr="00285196">
        <w:rPr>
          <w:rFonts w:ascii="inherit" w:eastAsia="Times New Roman" w:hAnsi="inherit" w:cs="Arial"/>
          <w:noProof/>
          <w:color w:val="222222"/>
          <w:sz w:val="21"/>
          <w:szCs w:val="21"/>
          <w:lang w:eastAsia="tr-TR"/>
        </w:rPr>
        <w:drawing>
          <wp:inline distT="0" distB="0" distL="0" distR="0" wp14:anchorId="62BC36DE" wp14:editId="6991BD3C">
            <wp:extent cx="7143750" cy="4848225"/>
            <wp:effectExtent l="0" t="0" r="0" b="9525"/>
            <wp:docPr id="6" name="Resim 6" descr="car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descr="carto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143750" cy="4848225"/>
                    </a:xfrm>
                    <a:prstGeom prst="rect">
                      <a:avLst/>
                    </a:prstGeom>
                    <a:noFill/>
                    <a:ln>
                      <a:noFill/>
                    </a:ln>
                  </pic:spPr>
                </pic:pic>
              </a:graphicData>
            </a:graphic>
          </wp:inline>
        </w:drawing>
      </w:r>
    </w:p>
    <w:p w:rsidR="00285196" w:rsidRPr="00285196" w:rsidRDefault="00285196" w:rsidP="00285196">
      <w:pPr>
        <w:spacing w:after="75" w:line="240" w:lineRule="auto"/>
        <w:ind w:left="600" w:right="150"/>
        <w:textAlignment w:val="baseline"/>
        <w:rPr>
          <w:rFonts w:ascii="inherit" w:eastAsia="Times New Roman" w:hAnsi="inherit" w:cs="Arial"/>
          <w:color w:val="222222"/>
          <w:sz w:val="21"/>
          <w:szCs w:val="21"/>
          <w:lang w:eastAsia="tr-TR"/>
        </w:rPr>
      </w:pPr>
      <w:hyperlink r:id="rId142" w:history="1">
        <w:r w:rsidRPr="00285196">
          <w:rPr>
            <w:rFonts w:ascii="Arial" w:eastAsia="Times New Roman" w:hAnsi="Arial" w:cs="Arial"/>
            <w:caps/>
            <w:color w:val="1D86BB"/>
            <w:sz w:val="18"/>
            <w:szCs w:val="18"/>
            <w:u w:val="single"/>
            <w:bdr w:val="none" w:sz="0" w:space="0" w:color="auto" w:frame="1"/>
            <w:lang w:eastAsia="tr-TR"/>
          </w:rPr>
          <w:t>CLOSE</w:t>
        </w:r>
      </w:hyperlink>
    </w:p>
    <w:p w:rsidR="00285196" w:rsidRPr="00285196" w:rsidRDefault="00285196" w:rsidP="00285196">
      <w:pPr>
        <w:numPr>
          <w:ilvl w:val="0"/>
          <w:numId w:val="13"/>
        </w:numPr>
        <w:spacing w:line="240" w:lineRule="auto"/>
        <w:ind w:left="150" w:right="150"/>
        <w:textAlignment w:val="baseline"/>
        <w:rPr>
          <w:rFonts w:ascii="inherit" w:eastAsia="Times New Roman" w:hAnsi="inherit" w:cs="Arial"/>
          <w:color w:val="222222"/>
          <w:sz w:val="21"/>
          <w:szCs w:val="21"/>
          <w:lang w:eastAsia="tr-TR"/>
        </w:rPr>
      </w:pPr>
      <w:hyperlink r:id="rId143" w:history="1">
        <w:r w:rsidRPr="00285196">
          <w:rPr>
            <w:rFonts w:ascii="Arial" w:eastAsia="Times New Roman" w:hAnsi="Arial" w:cs="Arial"/>
            <w:caps/>
            <w:color w:val="000000"/>
            <w:sz w:val="30"/>
            <w:szCs w:val="30"/>
            <w:u w:val="single"/>
            <w:bdr w:val="none" w:sz="0" w:space="0" w:color="auto" w:frame="1"/>
            <w:lang w:eastAsia="tr-TR"/>
          </w:rPr>
          <w:t>INGREDIENTS AND APPEARANCE</w:t>
        </w:r>
      </w:hyperlink>
    </w:p>
    <w:tbl>
      <w:tblPr>
        <w:tblW w:w="9000" w:type="dxa"/>
        <w:tblBorders>
          <w:top w:val="single" w:sz="6" w:space="0" w:color="auto"/>
          <w:left w:val="single" w:sz="6" w:space="0" w:color="auto"/>
          <w:bottom w:val="single" w:sz="6" w:space="0" w:color="auto"/>
          <w:right w:val="single" w:sz="6" w:space="0" w:color="auto"/>
        </w:tblBorders>
        <w:tblCellMar>
          <w:left w:w="0" w:type="dxa"/>
          <w:right w:w="0" w:type="dxa"/>
        </w:tblCellMar>
        <w:tblLook w:val="04A0" w:firstRow="1" w:lastRow="0" w:firstColumn="1" w:lastColumn="0" w:noHBand="0" w:noVBand="1"/>
      </w:tblPr>
      <w:tblGrid>
        <w:gridCol w:w="5798"/>
        <w:gridCol w:w="1601"/>
        <w:gridCol w:w="1601"/>
      </w:tblGrid>
      <w:tr w:rsidR="00285196" w:rsidRPr="00285196" w:rsidTr="00285196">
        <w:trPr>
          <w:gridAfter w:val="1"/>
        </w:trPr>
        <w:tc>
          <w:tcPr>
            <w:tcW w:w="6" w:type="dxa"/>
            <w:gridSpan w:val="2"/>
            <w:tcBorders>
              <w:top w:val="nil"/>
              <w:left w:val="nil"/>
              <w:bottom w:val="nil"/>
              <w:right w:val="nil"/>
            </w:tcBorders>
            <w:shd w:val="clear" w:color="auto" w:fill="2B789F"/>
            <w:tcMar>
              <w:top w:w="120" w:type="dxa"/>
              <w:left w:w="240" w:type="dxa"/>
              <w:bottom w:w="120" w:type="dxa"/>
              <w:right w:w="240" w:type="dxa"/>
            </w:tcMar>
            <w:hideMark/>
          </w:tcPr>
          <w:p w:rsidR="00285196" w:rsidRPr="00285196" w:rsidRDefault="00285196" w:rsidP="00285196">
            <w:pPr>
              <w:spacing w:after="0" w:line="240" w:lineRule="atLeast"/>
              <w:rPr>
                <w:rFonts w:ascii="Arial" w:eastAsia="Times New Roman" w:hAnsi="Arial" w:cs="Arial"/>
                <w:color w:val="FFFFFF"/>
                <w:sz w:val="21"/>
                <w:szCs w:val="21"/>
                <w:lang w:eastAsia="tr-TR"/>
              </w:rPr>
            </w:pPr>
            <w:r w:rsidRPr="00285196">
              <w:rPr>
                <w:rFonts w:ascii="Arial" w:eastAsia="Times New Roman" w:hAnsi="Arial" w:cs="Arial"/>
                <w:color w:val="FFFFFF"/>
                <w:sz w:val="30"/>
                <w:szCs w:val="30"/>
                <w:bdr w:val="none" w:sz="0" w:space="0" w:color="auto" w:frame="1"/>
                <w:lang w:eastAsia="tr-TR"/>
              </w:rPr>
              <w:t>DECITABINE </w:t>
            </w:r>
            <w:r w:rsidRPr="00285196">
              <w:rPr>
                <w:rFonts w:ascii="Arial" w:eastAsia="Times New Roman" w:hAnsi="Arial" w:cs="Arial"/>
                <w:color w:val="FFFFFF"/>
                <w:sz w:val="24"/>
                <w:szCs w:val="24"/>
                <w:bdr w:val="none" w:sz="0" w:space="0" w:color="auto" w:frame="1"/>
                <w:lang w:eastAsia="tr-TR"/>
              </w:rPr>
              <w:t>decitabine injection, powder, lyophilized, for solution</w:t>
            </w:r>
          </w:p>
        </w:tc>
      </w:tr>
      <w:tr w:rsidR="00285196" w:rsidRPr="00285196" w:rsidTr="00285196">
        <w:trPr>
          <w:gridAfter w:val="1"/>
        </w:trPr>
        <w:tc>
          <w:tcPr>
            <w:tcW w:w="6" w:type="dxa"/>
            <w:gridSpan w:val="2"/>
            <w:tcBorders>
              <w:top w:val="nil"/>
              <w:left w:val="nil"/>
              <w:bottom w:val="nil"/>
              <w:right w:val="nil"/>
            </w:tcBorders>
            <w:tcMar>
              <w:top w:w="90" w:type="dxa"/>
              <w:left w:w="90" w:type="dxa"/>
              <w:bottom w:w="90" w:type="dxa"/>
              <w:right w:w="90" w:type="dxa"/>
            </w:tcMar>
            <w:hideMark/>
          </w:tcPr>
          <w:tbl>
            <w:tblPr>
              <w:tblW w:w="5000" w:type="pct"/>
              <w:tblCellMar>
                <w:left w:w="0" w:type="dxa"/>
                <w:right w:w="0" w:type="dxa"/>
              </w:tblCellMar>
              <w:tblLook w:val="04A0" w:firstRow="1" w:lastRow="0" w:firstColumn="1" w:lastColumn="0" w:noHBand="0" w:noVBand="1"/>
            </w:tblPr>
            <w:tblGrid>
              <w:gridCol w:w="2160"/>
              <w:gridCol w:w="2165"/>
              <w:gridCol w:w="1216"/>
              <w:gridCol w:w="1662"/>
            </w:tblGrid>
            <w:tr w:rsidR="00285196" w:rsidRPr="00285196">
              <w:tc>
                <w:tcPr>
                  <w:tcW w:w="6" w:type="dxa"/>
                  <w:gridSpan w:val="4"/>
                  <w:tcBorders>
                    <w:top w:val="single" w:sz="6" w:space="0" w:color="000000"/>
                    <w:left w:val="single" w:sz="6" w:space="0" w:color="000000"/>
                    <w:bottom w:val="single" w:sz="6" w:space="0" w:color="000000"/>
                    <w:right w:val="single" w:sz="6" w:space="0" w:color="000000"/>
                  </w:tcBorders>
                  <w:shd w:val="clear" w:color="auto" w:fill="2B789F"/>
                  <w:tcMar>
                    <w:top w:w="120" w:type="dxa"/>
                    <w:left w:w="120" w:type="dxa"/>
                    <w:bottom w:w="120" w:type="dxa"/>
                    <w:right w:w="120" w:type="dxa"/>
                  </w:tcMar>
                  <w:hideMark/>
                </w:tcPr>
                <w:p w:rsidR="00285196" w:rsidRPr="00285196" w:rsidRDefault="00285196" w:rsidP="00285196">
                  <w:pPr>
                    <w:spacing w:after="0" w:line="240" w:lineRule="auto"/>
                    <w:rPr>
                      <w:rFonts w:ascii="Arial" w:eastAsia="Times New Roman" w:hAnsi="Arial" w:cs="Arial"/>
                      <w:caps/>
                      <w:color w:val="FFFFFF"/>
                      <w:sz w:val="21"/>
                      <w:szCs w:val="21"/>
                      <w:lang w:eastAsia="tr-TR"/>
                    </w:rPr>
                  </w:pPr>
                  <w:r w:rsidRPr="00285196">
                    <w:rPr>
                      <w:rFonts w:ascii="Arial" w:eastAsia="Times New Roman" w:hAnsi="Arial" w:cs="Arial"/>
                      <w:caps/>
                      <w:color w:val="FFFFFF"/>
                      <w:sz w:val="21"/>
                      <w:szCs w:val="21"/>
                      <w:lang w:eastAsia="tr-TR"/>
                    </w:rPr>
                    <w:t>PRODUCT INFORMATION</w:t>
                  </w:r>
                </w:p>
              </w:tc>
            </w:tr>
            <w:tr w:rsidR="00285196" w:rsidRPr="00285196">
              <w:tc>
                <w:tcPr>
                  <w:tcW w:w="6" w:type="dxa"/>
                  <w:tcBorders>
                    <w:top w:val="single" w:sz="6" w:space="0" w:color="000000"/>
                    <w:left w:val="nil"/>
                    <w:bottom w:val="nil"/>
                    <w:right w:val="single" w:sz="6" w:space="0" w:color="auto"/>
                  </w:tcBorders>
                  <w:shd w:val="clear" w:color="auto" w:fill="FFCD6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Product Type</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HUMAN PRESCRIPTION DRUG</w:t>
                  </w:r>
                </w:p>
              </w:tc>
              <w:tc>
                <w:tcPr>
                  <w:tcW w:w="6" w:type="dxa"/>
                  <w:tcBorders>
                    <w:top w:val="single" w:sz="6" w:space="0" w:color="000000"/>
                    <w:left w:val="nil"/>
                    <w:bottom w:val="nil"/>
                    <w:right w:val="single" w:sz="6" w:space="0" w:color="auto"/>
                  </w:tcBorders>
                  <w:shd w:val="clear" w:color="auto" w:fill="FFCD6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Item Code (Source)</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NDC:43598-427</w:t>
                  </w:r>
                </w:p>
              </w:tc>
            </w:tr>
            <w:tr w:rsidR="00285196" w:rsidRPr="00285196">
              <w:tc>
                <w:tcPr>
                  <w:tcW w:w="1500" w:type="pct"/>
                  <w:tcBorders>
                    <w:top w:val="single" w:sz="6" w:space="0" w:color="000000"/>
                    <w:left w:val="nil"/>
                    <w:bottom w:val="nil"/>
                    <w:right w:val="single" w:sz="6" w:space="0" w:color="auto"/>
                  </w:tcBorders>
                  <w:shd w:val="clear" w:color="auto" w:fill="FFCD6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Route of Administration</w:t>
                  </w:r>
                </w:p>
              </w:tc>
              <w:tc>
                <w:tcPr>
                  <w:tcW w:w="6" w:type="dxa"/>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INTRAVENOUS</w:t>
                  </w:r>
                </w:p>
              </w:tc>
              <w:tc>
                <w:tcPr>
                  <w:tcW w:w="0" w:type="auto"/>
                  <w:vAlign w:val="bottom"/>
                  <w:hideMark/>
                </w:tcPr>
                <w:p w:rsidR="00285196" w:rsidRPr="00285196" w:rsidRDefault="00285196" w:rsidP="00285196">
                  <w:pPr>
                    <w:spacing w:after="0" w:line="240" w:lineRule="auto"/>
                    <w:rPr>
                      <w:rFonts w:ascii="Times New Roman" w:eastAsia="Times New Roman" w:hAnsi="Times New Roman" w:cs="Times New Roman"/>
                      <w:sz w:val="20"/>
                      <w:szCs w:val="20"/>
                      <w:lang w:eastAsia="tr-TR"/>
                    </w:rPr>
                  </w:pPr>
                </w:p>
              </w:tc>
              <w:tc>
                <w:tcPr>
                  <w:tcW w:w="0" w:type="auto"/>
                  <w:vAlign w:val="bottom"/>
                  <w:hideMark/>
                </w:tcPr>
                <w:p w:rsidR="00285196" w:rsidRPr="00285196" w:rsidRDefault="00285196" w:rsidP="00285196">
                  <w:pPr>
                    <w:spacing w:after="0" w:line="240" w:lineRule="auto"/>
                    <w:rPr>
                      <w:rFonts w:ascii="Times New Roman" w:eastAsia="Times New Roman" w:hAnsi="Times New Roman" w:cs="Times New Roman"/>
                      <w:sz w:val="20"/>
                      <w:szCs w:val="20"/>
                      <w:lang w:eastAsia="tr-TR"/>
                    </w:rPr>
                  </w:pPr>
                </w:p>
              </w:tc>
            </w:tr>
          </w:tbl>
          <w:p w:rsidR="00285196" w:rsidRPr="00285196" w:rsidRDefault="00285196" w:rsidP="00285196">
            <w:pPr>
              <w:spacing w:after="0" w:line="240" w:lineRule="atLeast"/>
              <w:rPr>
                <w:rFonts w:ascii="Arial" w:eastAsia="Times New Roman" w:hAnsi="Arial" w:cs="Arial"/>
                <w:sz w:val="21"/>
                <w:szCs w:val="21"/>
                <w:lang w:eastAsia="tr-TR"/>
              </w:rPr>
            </w:pPr>
          </w:p>
        </w:tc>
      </w:tr>
      <w:tr w:rsidR="00285196" w:rsidRPr="00285196" w:rsidTr="00285196">
        <w:trPr>
          <w:gridAfter w:val="1"/>
        </w:trPr>
        <w:tc>
          <w:tcPr>
            <w:tcW w:w="6" w:type="dxa"/>
            <w:gridSpan w:val="2"/>
            <w:tcBorders>
              <w:top w:val="nil"/>
              <w:left w:val="nil"/>
              <w:bottom w:val="nil"/>
              <w:right w:val="nil"/>
            </w:tcBorders>
            <w:tcMar>
              <w:top w:w="90" w:type="dxa"/>
              <w:left w:w="90" w:type="dxa"/>
              <w:bottom w:w="90" w:type="dxa"/>
              <w:right w:w="90" w:type="dxa"/>
            </w:tcMar>
            <w:hideMark/>
          </w:tcPr>
          <w:tbl>
            <w:tblPr>
              <w:tblW w:w="5000" w:type="pct"/>
              <w:tblCellMar>
                <w:left w:w="0" w:type="dxa"/>
                <w:right w:w="0" w:type="dxa"/>
              </w:tblCellMar>
              <w:tblLook w:val="04A0" w:firstRow="1" w:lastRow="0" w:firstColumn="1" w:lastColumn="0" w:noHBand="0" w:noVBand="1"/>
            </w:tblPr>
            <w:tblGrid>
              <w:gridCol w:w="2965"/>
              <w:gridCol w:w="1739"/>
              <w:gridCol w:w="2499"/>
            </w:tblGrid>
            <w:tr w:rsidR="00285196" w:rsidRPr="00285196">
              <w:tc>
                <w:tcPr>
                  <w:tcW w:w="6" w:type="dxa"/>
                  <w:gridSpan w:val="3"/>
                  <w:tcBorders>
                    <w:top w:val="single" w:sz="6" w:space="0" w:color="000000"/>
                    <w:left w:val="single" w:sz="6" w:space="0" w:color="000000"/>
                    <w:bottom w:val="single" w:sz="6" w:space="0" w:color="000000"/>
                    <w:right w:val="single" w:sz="6" w:space="0" w:color="000000"/>
                  </w:tcBorders>
                  <w:shd w:val="clear" w:color="auto" w:fill="2B789F"/>
                  <w:tcMar>
                    <w:top w:w="120" w:type="dxa"/>
                    <w:left w:w="120" w:type="dxa"/>
                    <w:bottom w:w="120" w:type="dxa"/>
                    <w:right w:w="120" w:type="dxa"/>
                  </w:tcMar>
                  <w:hideMark/>
                </w:tcPr>
                <w:p w:rsidR="00285196" w:rsidRPr="00285196" w:rsidRDefault="00285196" w:rsidP="00285196">
                  <w:pPr>
                    <w:spacing w:after="0" w:line="240" w:lineRule="auto"/>
                    <w:rPr>
                      <w:rFonts w:ascii="Arial" w:eastAsia="Times New Roman" w:hAnsi="Arial" w:cs="Arial"/>
                      <w:caps/>
                      <w:color w:val="FFFFFF"/>
                      <w:sz w:val="21"/>
                      <w:szCs w:val="21"/>
                      <w:lang w:eastAsia="tr-TR"/>
                    </w:rPr>
                  </w:pPr>
                  <w:r w:rsidRPr="00285196">
                    <w:rPr>
                      <w:rFonts w:ascii="Arial" w:eastAsia="Times New Roman" w:hAnsi="Arial" w:cs="Arial"/>
                      <w:caps/>
                      <w:color w:val="FFFFFF"/>
                      <w:sz w:val="21"/>
                      <w:szCs w:val="21"/>
                      <w:lang w:eastAsia="tr-TR"/>
                    </w:rPr>
                    <w:t>ACTIVE INGREDIENT/ACTIVE MOIETY</w:t>
                  </w:r>
                </w:p>
              </w:tc>
            </w:tr>
            <w:tr w:rsidR="00285196" w:rsidRPr="00285196">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Ingredient Name</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Basis of Strength</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Strength</w:t>
                  </w:r>
                </w:p>
              </w:tc>
            </w:tr>
            <w:tr w:rsidR="00285196" w:rsidRPr="00285196">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bdr w:val="none" w:sz="0" w:space="0" w:color="auto" w:frame="1"/>
                      <w:lang w:eastAsia="tr-TR"/>
                    </w:rPr>
                    <w:t>Decitabine</w:t>
                  </w:r>
                  <w:r w:rsidRPr="00285196">
                    <w:rPr>
                      <w:rFonts w:ascii="Arial" w:eastAsia="Times New Roman" w:hAnsi="Arial" w:cs="Arial"/>
                      <w:color w:val="000000"/>
                      <w:sz w:val="21"/>
                      <w:szCs w:val="21"/>
                      <w:lang w:eastAsia="tr-TR"/>
                    </w:rPr>
                    <w:t> (UNII: 776B62CQ27) (Decitabine - UNII:776B62CQ27)</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Decitabine</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50 mg  in 50 mL</w:t>
                  </w:r>
                </w:p>
              </w:tc>
            </w:tr>
          </w:tbl>
          <w:p w:rsidR="00285196" w:rsidRPr="00285196" w:rsidRDefault="00285196" w:rsidP="00285196">
            <w:pPr>
              <w:spacing w:after="0" w:line="240" w:lineRule="atLeast"/>
              <w:rPr>
                <w:rFonts w:ascii="Arial" w:eastAsia="Times New Roman" w:hAnsi="Arial" w:cs="Arial"/>
                <w:sz w:val="21"/>
                <w:szCs w:val="21"/>
                <w:lang w:eastAsia="tr-TR"/>
              </w:rPr>
            </w:pPr>
          </w:p>
        </w:tc>
      </w:tr>
      <w:tr w:rsidR="00285196" w:rsidRPr="00285196" w:rsidTr="00285196">
        <w:trPr>
          <w:gridAfter w:val="1"/>
        </w:trPr>
        <w:tc>
          <w:tcPr>
            <w:tcW w:w="6" w:type="dxa"/>
            <w:gridSpan w:val="2"/>
            <w:tcBorders>
              <w:top w:val="nil"/>
              <w:left w:val="nil"/>
              <w:bottom w:val="nil"/>
              <w:right w:val="nil"/>
            </w:tcBorders>
            <w:tcMar>
              <w:top w:w="90" w:type="dxa"/>
              <w:left w:w="90" w:type="dxa"/>
              <w:bottom w:w="90" w:type="dxa"/>
              <w:right w:w="90" w:type="dxa"/>
            </w:tcMar>
            <w:hideMark/>
          </w:tcPr>
          <w:tbl>
            <w:tblPr>
              <w:tblW w:w="5000" w:type="pct"/>
              <w:tblCellMar>
                <w:left w:w="0" w:type="dxa"/>
                <w:right w:w="0" w:type="dxa"/>
              </w:tblCellMar>
              <w:tblLook w:val="04A0" w:firstRow="1" w:lastRow="0" w:firstColumn="1" w:lastColumn="0" w:noHBand="0" w:noVBand="1"/>
            </w:tblPr>
            <w:tblGrid>
              <w:gridCol w:w="4677"/>
              <w:gridCol w:w="2526"/>
            </w:tblGrid>
            <w:tr w:rsidR="00285196" w:rsidRPr="00285196">
              <w:tc>
                <w:tcPr>
                  <w:tcW w:w="6" w:type="dxa"/>
                  <w:gridSpan w:val="2"/>
                  <w:tcBorders>
                    <w:top w:val="single" w:sz="6" w:space="0" w:color="000000"/>
                    <w:left w:val="single" w:sz="6" w:space="0" w:color="000000"/>
                    <w:bottom w:val="single" w:sz="6" w:space="0" w:color="000000"/>
                    <w:right w:val="single" w:sz="6" w:space="0" w:color="000000"/>
                  </w:tcBorders>
                  <w:shd w:val="clear" w:color="auto" w:fill="2B789F"/>
                  <w:tcMar>
                    <w:top w:w="120" w:type="dxa"/>
                    <w:left w:w="120" w:type="dxa"/>
                    <w:bottom w:w="120" w:type="dxa"/>
                    <w:right w:w="120" w:type="dxa"/>
                  </w:tcMar>
                  <w:hideMark/>
                </w:tcPr>
                <w:p w:rsidR="00285196" w:rsidRPr="00285196" w:rsidRDefault="00285196" w:rsidP="00285196">
                  <w:pPr>
                    <w:spacing w:after="0" w:line="240" w:lineRule="auto"/>
                    <w:rPr>
                      <w:rFonts w:ascii="Arial" w:eastAsia="Times New Roman" w:hAnsi="Arial" w:cs="Arial"/>
                      <w:caps/>
                      <w:color w:val="FFFFFF"/>
                      <w:sz w:val="21"/>
                      <w:szCs w:val="21"/>
                      <w:lang w:eastAsia="tr-TR"/>
                    </w:rPr>
                  </w:pPr>
                  <w:r w:rsidRPr="00285196">
                    <w:rPr>
                      <w:rFonts w:ascii="Arial" w:eastAsia="Times New Roman" w:hAnsi="Arial" w:cs="Arial"/>
                      <w:caps/>
                      <w:color w:val="FFFFFF"/>
                      <w:sz w:val="21"/>
                      <w:szCs w:val="21"/>
                      <w:lang w:eastAsia="tr-TR"/>
                    </w:rPr>
                    <w:t>INACTIVE INGREDIENTS</w:t>
                  </w:r>
                </w:p>
              </w:tc>
            </w:tr>
            <w:tr w:rsidR="00285196" w:rsidRPr="00285196">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Ingredient Name</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Strength</w:t>
                  </w:r>
                </w:p>
              </w:tc>
            </w:tr>
            <w:tr w:rsidR="00285196" w:rsidRPr="00285196">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bdr w:val="none" w:sz="0" w:space="0" w:color="auto" w:frame="1"/>
                      <w:lang w:eastAsia="tr-TR"/>
                    </w:rPr>
                    <w:t>potassium phosphate, monobasic</w:t>
                  </w:r>
                  <w:r w:rsidRPr="00285196">
                    <w:rPr>
                      <w:rFonts w:ascii="Arial" w:eastAsia="Times New Roman" w:hAnsi="Arial" w:cs="Arial"/>
                      <w:color w:val="000000"/>
                      <w:sz w:val="21"/>
                      <w:szCs w:val="21"/>
                      <w:lang w:eastAsia="tr-TR"/>
                    </w:rPr>
                    <w:t> (UNII: 4J9FJ0HL51)</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 </w:t>
                  </w:r>
                </w:p>
              </w:tc>
            </w:tr>
          </w:tbl>
          <w:p w:rsidR="00285196" w:rsidRPr="00285196" w:rsidRDefault="00285196" w:rsidP="00285196">
            <w:pPr>
              <w:spacing w:after="0" w:line="240" w:lineRule="atLeast"/>
              <w:rPr>
                <w:rFonts w:ascii="Arial" w:eastAsia="Times New Roman" w:hAnsi="Arial" w:cs="Arial"/>
                <w:sz w:val="21"/>
                <w:szCs w:val="21"/>
                <w:lang w:eastAsia="tr-TR"/>
              </w:rPr>
            </w:pPr>
          </w:p>
        </w:tc>
      </w:tr>
      <w:tr w:rsidR="00285196" w:rsidRPr="00285196" w:rsidTr="00285196">
        <w:trPr>
          <w:gridAfter w:val="1"/>
        </w:trPr>
        <w:tc>
          <w:tcPr>
            <w:tcW w:w="6" w:type="dxa"/>
            <w:gridSpan w:val="2"/>
            <w:tcBorders>
              <w:top w:val="nil"/>
              <w:left w:val="nil"/>
              <w:bottom w:val="nil"/>
              <w:right w:val="nil"/>
            </w:tcBorders>
            <w:tcMar>
              <w:top w:w="90" w:type="dxa"/>
              <w:left w:w="90" w:type="dxa"/>
              <w:bottom w:w="90" w:type="dxa"/>
              <w:right w:w="90" w:type="dxa"/>
            </w:tcMar>
            <w:hideMark/>
          </w:tcPr>
          <w:p w:rsidR="00285196" w:rsidRPr="00285196" w:rsidRDefault="00285196" w:rsidP="00285196">
            <w:pPr>
              <w:spacing w:after="0" w:line="240" w:lineRule="atLeast"/>
              <w:rPr>
                <w:rFonts w:ascii="Arial" w:eastAsia="Times New Roman" w:hAnsi="Arial" w:cs="Arial"/>
                <w:sz w:val="21"/>
                <w:szCs w:val="21"/>
                <w:lang w:eastAsia="tr-TR"/>
              </w:rPr>
            </w:pPr>
          </w:p>
        </w:tc>
      </w:tr>
      <w:tr w:rsidR="00285196" w:rsidRPr="00285196" w:rsidTr="00285196">
        <w:trPr>
          <w:gridAfter w:val="1"/>
        </w:trPr>
        <w:tc>
          <w:tcPr>
            <w:tcW w:w="6" w:type="dxa"/>
            <w:gridSpan w:val="2"/>
            <w:tcBorders>
              <w:top w:val="nil"/>
              <w:left w:val="nil"/>
              <w:bottom w:val="nil"/>
              <w:right w:val="nil"/>
            </w:tcBorders>
            <w:tcMar>
              <w:top w:w="90" w:type="dxa"/>
              <w:left w:w="90" w:type="dxa"/>
              <w:bottom w:w="90" w:type="dxa"/>
              <w:right w:w="90" w:type="dxa"/>
            </w:tcMar>
            <w:hideMark/>
          </w:tcPr>
          <w:tbl>
            <w:tblPr>
              <w:tblW w:w="5000" w:type="pct"/>
              <w:tblCellMar>
                <w:left w:w="0" w:type="dxa"/>
                <w:right w:w="0" w:type="dxa"/>
              </w:tblCellMar>
              <w:tblLook w:val="04A0" w:firstRow="1" w:lastRow="0" w:firstColumn="1" w:lastColumn="0" w:noHBand="0" w:noVBand="1"/>
            </w:tblPr>
            <w:tblGrid>
              <w:gridCol w:w="421"/>
              <w:gridCol w:w="1911"/>
              <w:gridCol w:w="1745"/>
              <w:gridCol w:w="1563"/>
              <w:gridCol w:w="1563"/>
            </w:tblGrid>
            <w:tr w:rsidR="00285196" w:rsidRPr="00285196">
              <w:tc>
                <w:tcPr>
                  <w:tcW w:w="6" w:type="dxa"/>
                  <w:gridSpan w:val="5"/>
                  <w:tcBorders>
                    <w:top w:val="single" w:sz="6" w:space="0" w:color="000000"/>
                    <w:left w:val="single" w:sz="6" w:space="0" w:color="000000"/>
                    <w:bottom w:val="single" w:sz="6" w:space="0" w:color="000000"/>
                    <w:right w:val="single" w:sz="6" w:space="0" w:color="000000"/>
                  </w:tcBorders>
                  <w:shd w:val="clear" w:color="auto" w:fill="2B789F"/>
                  <w:tcMar>
                    <w:top w:w="120" w:type="dxa"/>
                    <w:left w:w="120" w:type="dxa"/>
                    <w:bottom w:w="120" w:type="dxa"/>
                    <w:right w:w="120" w:type="dxa"/>
                  </w:tcMar>
                  <w:hideMark/>
                </w:tcPr>
                <w:p w:rsidR="00285196" w:rsidRPr="00285196" w:rsidRDefault="00285196" w:rsidP="00285196">
                  <w:pPr>
                    <w:spacing w:after="0" w:line="240" w:lineRule="auto"/>
                    <w:rPr>
                      <w:rFonts w:ascii="Arial" w:eastAsia="Times New Roman" w:hAnsi="Arial" w:cs="Arial"/>
                      <w:caps/>
                      <w:color w:val="FFFFFF"/>
                      <w:sz w:val="21"/>
                      <w:szCs w:val="21"/>
                      <w:lang w:eastAsia="tr-TR"/>
                    </w:rPr>
                  </w:pPr>
                  <w:r w:rsidRPr="00285196">
                    <w:rPr>
                      <w:rFonts w:ascii="Arial" w:eastAsia="Times New Roman" w:hAnsi="Arial" w:cs="Arial"/>
                      <w:caps/>
                      <w:color w:val="FFFFFF"/>
                      <w:sz w:val="21"/>
                      <w:szCs w:val="21"/>
                      <w:lang w:eastAsia="tr-TR"/>
                    </w:rPr>
                    <w:t>PACKAGING</w:t>
                  </w:r>
                </w:p>
              </w:tc>
            </w:tr>
            <w:tr w:rsidR="00285196" w:rsidRPr="00285196">
              <w:tc>
                <w:tcPr>
                  <w:tcW w:w="15" w:type="dxa"/>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Item Code</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Package Description</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Marketing Start Date</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Marketing End Date</w:t>
                  </w:r>
                </w:p>
              </w:tc>
            </w:tr>
            <w:tr w:rsidR="00285196" w:rsidRPr="00285196">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b/>
                      <w:bCs/>
                      <w:color w:val="000000"/>
                      <w:sz w:val="21"/>
                      <w:szCs w:val="21"/>
                      <w:lang w:eastAsia="tr-TR"/>
                    </w:rPr>
                  </w:pPr>
                  <w:r w:rsidRPr="00285196">
                    <w:rPr>
                      <w:rFonts w:ascii="Arial" w:eastAsia="Times New Roman" w:hAnsi="Arial" w:cs="Arial"/>
                      <w:b/>
                      <w:bCs/>
                      <w:color w:val="000000"/>
                      <w:sz w:val="21"/>
                      <w:szCs w:val="21"/>
                      <w:lang w:eastAsia="tr-TR"/>
                    </w:rPr>
                    <w:t>1</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NDC:43598-427-37</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1 in 1 CARTON</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p>
              </w:tc>
            </w:tr>
            <w:tr w:rsidR="00285196" w:rsidRPr="00285196">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b/>
                      <w:bCs/>
                      <w:color w:val="000000"/>
                      <w:sz w:val="21"/>
                      <w:szCs w:val="21"/>
                      <w:lang w:eastAsia="tr-TR"/>
                    </w:rPr>
                  </w:pPr>
                  <w:r w:rsidRPr="00285196">
                    <w:rPr>
                      <w:rFonts w:ascii="Arial" w:eastAsia="Times New Roman" w:hAnsi="Arial" w:cs="Arial"/>
                      <w:b/>
                      <w:bCs/>
                      <w:color w:val="000000"/>
                      <w:sz w:val="21"/>
                      <w:szCs w:val="21"/>
                      <w:lang w:eastAsia="tr-TR"/>
                    </w:rPr>
                    <w:t>1</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50 mL in 1 VIAL, SINGLE-USE</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p>
              </w:tc>
            </w:tr>
          </w:tbl>
          <w:p w:rsidR="00285196" w:rsidRPr="00285196" w:rsidRDefault="00285196" w:rsidP="00285196">
            <w:pPr>
              <w:spacing w:after="0" w:line="240" w:lineRule="atLeast"/>
              <w:rPr>
                <w:rFonts w:ascii="Arial" w:eastAsia="Times New Roman" w:hAnsi="Arial" w:cs="Arial"/>
                <w:sz w:val="21"/>
                <w:szCs w:val="21"/>
                <w:lang w:eastAsia="tr-TR"/>
              </w:rPr>
            </w:pPr>
          </w:p>
        </w:tc>
      </w:tr>
      <w:tr w:rsidR="00285196" w:rsidRPr="00285196" w:rsidTr="00285196">
        <w:trPr>
          <w:gridAfter w:val="1"/>
        </w:trPr>
        <w:tc>
          <w:tcPr>
            <w:tcW w:w="6" w:type="dxa"/>
            <w:gridSpan w:val="2"/>
            <w:tcBorders>
              <w:top w:val="nil"/>
              <w:left w:val="nil"/>
              <w:bottom w:val="nil"/>
              <w:right w:val="nil"/>
            </w:tcBorders>
            <w:tcMar>
              <w:top w:w="90" w:type="dxa"/>
              <w:left w:w="90" w:type="dxa"/>
              <w:bottom w:w="90" w:type="dxa"/>
              <w:right w:w="90" w:type="dxa"/>
            </w:tcMar>
            <w:hideMark/>
          </w:tcPr>
          <w:p w:rsidR="00285196" w:rsidRPr="00285196" w:rsidRDefault="00285196" w:rsidP="00285196">
            <w:pPr>
              <w:spacing w:after="0" w:line="240" w:lineRule="atLeast"/>
              <w:rPr>
                <w:rFonts w:ascii="Arial" w:eastAsia="Times New Roman" w:hAnsi="Arial" w:cs="Arial"/>
                <w:sz w:val="21"/>
                <w:szCs w:val="21"/>
                <w:lang w:eastAsia="tr-TR"/>
              </w:rPr>
            </w:pPr>
          </w:p>
        </w:tc>
      </w:tr>
      <w:tr w:rsidR="00285196" w:rsidRPr="00285196" w:rsidTr="00285196">
        <w:trPr>
          <w:gridAfter w:val="1"/>
        </w:trPr>
        <w:tc>
          <w:tcPr>
            <w:tcW w:w="6" w:type="dxa"/>
            <w:gridSpan w:val="2"/>
            <w:tcBorders>
              <w:top w:val="nil"/>
              <w:left w:val="nil"/>
              <w:bottom w:val="nil"/>
              <w:right w:val="nil"/>
            </w:tcBorders>
            <w:tcMar>
              <w:top w:w="90" w:type="dxa"/>
              <w:left w:w="90" w:type="dxa"/>
              <w:bottom w:w="90" w:type="dxa"/>
              <w:right w:w="90" w:type="dxa"/>
            </w:tcMar>
            <w:hideMark/>
          </w:tcPr>
          <w:tbl>
            <w:tblPr>
              <w:tblW w:w="5000" w:type="pct"/>
              <w:tblCellMar>
                <w:left w:w="0" w:type="dxa"/>
                <w:right w:w="0" w:type="dxa"/>
              </w:tblCellMar>
              <w:tblLook w:val="04A0" w:firstRow="1" w:lastRow="0" w:firstColumn="1" w:lastColumn="0" w:noHBand="0" w:noVBand="1"/>
            </w:tblPr>
            <w:tblGrid>
              <w:gridCol w:w="1621"/>
              <w:gridCol w:w="2152"/>
              <w:gridCol w:w="1810"/>
              <w:gridCol w:w="1620"/>
            </w:tblGrid>
            <w:tr w:rsidR="00285196" w:rsidRPr="00285196">
              <w:tc>
                <w:tcPr>
                  <w:tcW w:w="6" w:type="dxa"/>
                  <w:gridSpan w:val="4"/>
                  <w:tcBorders>
                    <w:top w:val="single" w:sz="6" w:space="0" w:color="000000"/>
                    <w:left w:val="single" w:sz="6" w:space="0" w:color="000000"/>
                    <w:bottom w:val="single" w:sz="6" w:space="0" w:color="000000"/>
                    <w:right w:val="single" w:sz="6" w:space="0" w:color="000000"/>
                  </w:tcBorders>
                  <w:shd w:val="clear" w:color="auto" w:fill="2B789F"/>
                  <w:tcMar>
                    <w:top w:w="120" w:type="dxa"/>
                    <w:left w:w="120" w:type="dxa"/>
                    <w:bottom w:w="120" w:type="dxa"/>
                    <w:right w:w="120" w:type="dxa"/>
                  </w:tcMar>
                  <w:hideMark/>
                </w:tcPr>
                <w:p w:rsidR="00285196" w:rsidRPr="00285196" w:rsidRDefault="00285196" w:rsidP="00285196">
                  <w:pPr>
                    <w:spacing w:after="0" w:line="240" w:lineRule="auto"/>
                    <w:rPr>
                      <w:rFonts w:ascii="Arial" w:eastAsia="Times New Roman" w:hAnsi="Arial" w:cs="Arial"/>
                      <w:caps/>
                      <w:color w:val="FFFFFF"/>
                      <w:sz w:val="21"/>
                      <w:szCs w:val="21"/>
                      <w:lang w:eastAsia="tr-TR"/>
                    </w:rPr>
                  </w:pPr>
                  <w:r w:rsidRPr="00285196">
                    <w:rPr>
                      <w:rFonts w:ascii="Arial" w:eastAsia="Times New Roman" w:hAnsi="Arial" w:cs="Arial"/>
                      <w:caps/>
                      <w:color w:val="FFFFFF"/>
                      <w:sz w:val="24"/>
                      <w:szCs w:val="24"/>
                      <w:bdr w:val="none" w:sz="0" w:space="0" w:color="auto" w:frame="1"/>
                      <w:shd w:val="clear" w:color="auto" w:fill="2B789F"/>
                      <w:lang w:eastAsia="tr-TR"/>
                    </w:rPr>
                    <w:t>MARKETING INFORMATION</w:t>
                  </w:r>
                </w:p>
              </w:tc>
            </w:tr>
            <w:tr w:rsidR="00285196" w:rsidRPr="00285196">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Marketing Category</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Application Number or Monograph Citation</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Marketing Start Date</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Marketing End Date</w:t>
                  </w:r>
                </w:p>
              </w:tc>
            </w:tr>
            <w:tr w:rsidR="00285196" w:rsidRPr="00285196">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ANDA</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ANDA203131</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proofErr w:type="gramStart"/>
                  <w:r w:rsidRPr="00285196">
                    <w:rPr>
                      <w:rFonts w:ascii="Arial" w:eastAsia="Times New Roman" w:hAnsi="Arial" w:cs="Arial"/>
                      <w:color w:val="000000"/>
                      <w:sz w:val="21"/>
                      <w:szCs w:val="21"/>
                      <w:lang w:eastAsia="tr-TR"/>
                    </w:rPr>
                    <w:t>12/05/2014</w:t>
                  </w:r>
                  <w:proofErr w:type="gramEnd"/>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285196" w:rsidRPr="00285196" w:rsidRDefault="00285196" w:rsidP="00285196">
                  <w:pPr>
                    <w:spacing w:after="0" w:line="240" w:lineRule="auto"/>
                    <w:rPr>
                      <w:rFonts w:ascii="Arial" w:eastAsia="Times New Roman" w:hAnsi="Arial" w:cs="Arial"/>
                      <w:color w:val="000000"/>
                      <w:sz w:val="21"/>
                      <w:szCs w:val="21"/>
                      <w:lang w:eastAsia="tr-TR"/>
                    </w:rPr>
                  </w:pPr>
                </w:p>
              </w:tc>
            </w:tr>
          </w:tbl>
          <w:p w:rsidR="00285196" w:rsidRPr="00285196" w:rsidRDefault="00285196" w:rsidP="00285196">
            <w:pPr>
              <w:spacing w:after="0" w:line="240" w:lineRule="atLeast"/>
              <w:rPr>
                <w:rFonts w:ascii="Arial" w:eastAsia="Times New Roman" w:hAnsi="Arial" w:cs="Arial"/>
                <w:sz w:val="21"/>
                <w:szCs w:val="21"/>
                <w:lang w:eastAsia="tr-TR"/>
              </w:rPr>
            </w:pPr>
          </w:p>
        </w:tc>
      </w:tr>
      <w:tr w:rsidR="00285196" w:rsidRPr="00285196" w:rsidTr="00285196">
        <w:tblPrEx>
          <w:tblBorders>
            <w:top w:val="single" w:sz="6" w:space="0" w:color="000000"/>
            <w:left w:val="single" w:sz="6" w:space="0" w:color="000000"/>
            <w:bottom w:val="single" w:sz="6" w:space="0" w:color="000000"/>
            <w:right w:val="single" w:sz="6" w:space="0" w:color="000000"/>
          </w:tblBorders>
        </w:tblPrEx>
        <w:trPr>
          <w:gridBefore w:val="1"/>
          <w:wBefore w:w="120" w:type="dxa"/>
        </w:trPr>
        <w:tc>
          <w:tcPr>
            <w:tcW w:w="0" w:type="auto"/>
            <w:gridSpan w:val="2"/>
            <w:tcBorders>
              <w:top w:val="single" w:sz="6" w:space="0" w:color="000000"/>
              <w:left w:val="single" w:sz="6" w:space="0" w:color="000000"/>
              <w:bottom w:val="single" w:sz="6" w:space="0" w:color="000000"/>
              <w:right w:val="single" w:sz="6" w:space="0" w:color="000000"/>
            </w:tcBorders>
            <w:shd w:val="clear" w:color="auto" w:fill="2B789F"/>
            <w:tcMar>
              <w:top w:w="120" w:type="dxa"/>
              <w:left w:w="120" w:type="dxa"/>
              <w:bottom w:w="120" w:type="dxa"/>
              <w:right w:w="120" w:type="dxa"/>
            </w:tcMar>
            <w:hideMark/>
          </w:tcPr>
          <w:p w:rsidR="00285196" w:rsidRPr="00285196" w:rsidRDefault="00285196" w:rsidP="00285196">
            <w:pPr>
              <w:spacing w:after="0" w:line="240" w:lineRule="auto"/>
              <w:rPr>
                <w:rFonts w:ascii="Arial" w:eastAsia="Times New Roman" w:hAnsi="Arial" w:cs="Arial"/>
                <w:caps/>
                <w:color w:val="FFFFFF"/>
                <w:sz w:val="21"/>
                <w:szCs w:val="21"/>
                <w:lang w:eastAsia="tr-TR"/>
              </w:rPr>
            </w:pPr>
            <w:r w:rsidRPr="00285196">
              <w:rPr>
                <w:rFonts w:ascii="inherit" w:eastAsia="Times New Roman" w:hAnsi="inherit" w:cs="Arial"/>
                <w:caps/>
                <w:color w:val="FFFFFF"/>
                <w:sz w:val="21"/>
                <w:szCs w:val="21"/>
                <w:bdr w:val="none" w:sz="0" w:space="0" w:color="auto" w:frame="1"/>
                <w:lang w:eastAsia="tr-TR"/>
              </w:rPr>
              <w:t>LABELER - </w:t>
            </w:r>
            <w:r w:rsidRPr="00285196">
              <w:rPr>
                <w:rFonts w:ascii="Arial" w:eastAsia="Times New Roman" w:hAnsi="Arial" w:cs="Arial"/>
                <w:caps/>
                <w:color w:val="FFFFFF"/>
                <w:sz w:val="21"/>
                <w:szCs w:val="21"/>
                <w:lang w:eastAsia="tr-TR"/>
              </w:rPr>
              <w:t>DR.REDDY'S LABORATORIES INC (</w:t>
            </w:r>
            <w:proofErr w:type="gramStart"/>
            <w:r w:rsidRPr="00285196">
              <w:rPr>
                <w:rFonts w:ascii="Arial" w:eastAsia="Times New Roman" w:hAnsi="Arial" w:cs="Arial"/>
                <w:caps/>
                <w:color w:val="FFFFFF"/>
                <w:sz w:val="21"/>
                <w:szCs w:val="21"/>
                <w:lang w:eastAsia="tr-TR"/>
              </w:rPr>
              <w:t>802315887</w:t>
            </w:r>
            <w:proofErr w:type="gramEnd"/>
            <w:r w:rsidRPr="00285196">
              <w:rPr>
                <w:rFonts w:ascii="Arial" w:eastAsia="Times New Roman" w:hAnsi="Arial" w:cs="Arial"/>
                <w:caps/>
                <w:color w:val="FFFFFF"/>
                <w:sz w:val="21"/>
                <w:szCs w:val="21"/>
                <w:lang w:eastAsia="tr-TR"/>
              </w:rPr>
              <w:t>)</w:t>
            </w:r>
          </w:p>
        </w:tc>
      </w:tr>
    </w:tbl>
    <w:p w:rsidR="00285196" w:rsidRPr="00285196" w:rsidRDefault="00285196" w:rsidP="00285196">
      <w:pPr>
        <w:numPr>
          <w:ilvl w:val="0"/>
          <w:numId w:val="13"/>
        </w:numPr>
        <w:spacing w:line="240" w:lineRule="auto"/>
        <w:ind w:left="600" w:right="150"/>
        <w:textAlignment w:val="baseline"/>
        <w:rPr>
          <w:rFonts w:ascii="inherit" w:eastAsia="Times New Roman" w:hAnsi="inherit" w:cs="Arial"/>
          <w:vanish/>
          <w:color w:val="222222"/>
          <w:sz w:val="21"/>
          <w:szCs w:val="21"/>
          <w:lang w:eastAsia="tr-TR"/>
        </w:rPr>
      </w:pPr>
    </w:p>
    <w:tbl>
      <w:tblPr>
        <w:tblW w:w="5000" w:type="pct"/>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1238"/>
        <w:gridCol w:w="1291"/>
        <w:gridCol w:w="1426"/>
        <w:gridCol w:w="5357"/>
      </w:tblGrid>
      <w:tr w:rsidR="00285196" w:rsidRPr="00285196" w:rsidTr="00285196">
        <w:tc>
          <w:tcPr>
            <w:tcW w:w="0" w:type="auto"/>
            <w:gridSpan w:val="4"/>
            <w:tcBorders>
              <w:top w:val="single" w:sz="6" w:space="0" w:color="000000"/>
              <w:left w:val="single" w:sz="6" w:space="0" w:color="000000"/>
              <w:bottom w:val="single" w:sz="6" w:space="0" w:color="000000"/>
              <w:right w:val="single" w:sz="6" w:space="0" w:color="000000"/>
            </w:tcBorders>
            <w:shd w:val="clear" w:color="auto" w:fill="2B789F"/>
            <w:tcMar>
              <w:top w:w="120" w:type="dxa"/>
              <w:left w:w="120" w:type="dxa"/>
              <w:bottom w:w="120" w:type="dxa"/>
              <w:right w:w="120" w:type="dxa"/>
            </w:tcMar>
            <w:hideMark/>
          </w:tcPr>
          <w:p w:rsidR="00285196" w:rsidRPr="00285196" w:rsidRDefault="00285196" w:rsidP="00285196">
            <w:pPr>
              <w:spacing w:after="0" w:line="240" w:lineRule="auto"/>
              <w:rPr>
                <w:rFonts w:ascii="Arial" w:eastAsia="Times New Roman" w:hAnsi="Arial" w:cs="Arial"/>
                <w:caps/>
                <w:color w:val="FFFFFF"/>
                <w:sz w:val="21"/>
                <w:szCs w:val="21"/>
                <w:lang w:eastAsia="tr-TR"/>
              </w:rPr>
            </w:pPr>
            <w:r w:rsidRPr="00285196">
              <w:rPr>
                <w:rFonts w:ascii="inherit" w:eastAsia="Times New Roman" w:hAnsi="inherit" w:cs="Arial"/>
                <w:caps/>
                <w:color w:val="FFFFFF"/>
                <w:sz w:val="21"/>
                <w:szCs w:val="21"/>
                <w:bdr w:val="none" w:sz="0" w:space="0" w:color="auto" w:frame="1"/>
                <w:lang w:eastAsia="tr-TR"/>
              </w:rPr>
              <w:t>ESTABLISHMENT</w:t>
            </w:r>
          </w:p>
        </w:tc>
      </w:tr>
      <w:tr w:rsidR="00285196" w:rsidRPr="00285196" w:rsidTr="00285196">
        <w:tc>
          <w:tcPr>
            <w:tcW w:w="0" w:type="auto"/>
            <w:tcBorders>
              <w:top w:val="single" w:sz="6" w:space="0" w:color="000000"/>
              <w:left w:val="nil"/>
              <w:bottom w:val="nil"/>
              <w:right w:val="single" w:sz="6" w:space="0" w:color="000000"/>
            </w:tcBorders>
            <w:shd w:val="clear" w:color="auto" w:fill="2B789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b/>
                <w:bCs/>
                <w:color w:val="FFFFFF"/>
                <w:sz w:val="24"/>
                <w:szCs w:val="24"/>
                <w:lang w:eastAsia="tr-TR"/>
              </w:rPr>
            </w:pPr>
            <w:r w:rsidRPr="00285196">
              <w:rPr>
                <w:rFonts w:ascii="Arial" w:eastAsia="Times New Roman" w:hAnsi="Arial" w:cs="Arial"/>
                <w:b/>
                <w:bCs/>
                <w:color w:val="FFFFFF"/>
                <w:sz w:val="24"/>
                <w:szCs w:val="24"/>
                <w:lang w:eastAsia="tr-TR"/>
              </w:rPr>
              <w:t>Name</w:t>
            </w:r>
          </w:p>
        </w:tc>
        <w:tc>
          <w:tcPr>
            <w:tcW w:w="0" w:type="auto"/>
            <w:tcBorders>
              <w:top w:val="single" w:sz="6" w:space="0" w:color="000000"/>
              <w:left w:val="nil"/>
              <w:bottom w:val="nil"/>
              <w:right w:val="single" w:sz="6" w:space="0" w:color="000000"/>
            </w:tcBorders>
            <w:shd w:val="clear" w:color="auto" w:fill="2B789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b/>
                <w:bCs/>
                <w:color w:val="FFFFFF"/>
                <w:sz w:val="24"/>
                <w:szCs w:val="24"/>
                <w:lang w:eastAsia="tr-TR"/>
              </w:rPr>
            </w:pPr>
            <w:r w:rsidRPr="00285196">
              <w:rPr>
                <w:rFonts w:ascii="Arial" w:eastAsia="Times New Roman" w:hAnsi="Arial" w:cs="Arial"/>
                <w:b/>
                <w:bCs/>
                <w:color w:val="FFFFFF"/>
                <w:sz w:val="24"/>
                <w:szCs w:val="24"/>
                <w:lang w:eastAsia="tr-TR"/>
              </w:rPr>
              <w:t>Address</w:t>
            </w:r>
          </w:p>
        </w:tc>
        <w:tc>
          <w:tcPr>
            <w:tcW w:w="0" w:type="auto"/>
            <w:tcBorders>
              <w:top w:val="single" w:sz="6" w:space="0" w:color="000000"/>
              <w:left w:val="nil"/>
              <w:bottom w:val="nil"/>
              <w:right w:val="single" w:sz="6" w:space="0" w:color="000000"/>
            </w:tcBorders>
            <w:shd w:val="clear" w:color="auto" w:fill="2B789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b/>
                <w:bCs/>
                <w:color w:val="FFFFFF"/>
                <w:sz w:val="24"/>
                <w:szCs w:val="24"/>
                <w:lang w:eastAsia="tr-TR"/>
              </w:rPr>
            </w:pPr>
            <w:r w:rsidRPr="00285196">
              <w:rPr>
                <w:rFonts w:ascii="Arial" w:eastAsia="Times New Roman" w:hAnsi="Arial" w:cs="Arial"/>
                <w:b/>
                <w:bCs/>
                <w:color w:val="FFFFFF"/>
                <w:sz w:val="24"/>
                <w:szCs w:val="24"/>
                <w:lang w:eastAsia="tr-TR"/>
              </w:rPr>
              <w:t>ID/FEI</w:t>
            </w:r>
          </w:p>
        </w:tc>
        <w:tc>
          <w:tcPr>
            <w:tcW w:w="0" w:type="auto"/>
            <w:tcBorders>
              <w:top w:val="single" w:sz="6" w:space="0" w:color="000000"/>
              <w:left w:val="nil"/>
              <w:bottom w:val="nil"/>
              <w:right w:val="single" w:sz="6" w:space="0" w:color="000000"/>
            </w:tcBorders>
            <w:shd w:val="clear" w:color="auto" w:fill="2B789F"/>
            <w:tcMar>
              <w:top w:w="90" w:type="dxa"/>
              <w:left w:w="90" w:type="dxa"/>
              <w:bottom w:w="90" w:type="dxa"/>
              <w:right w:w="90" w:type="dxa"/>
            </w:tcMar>
            <w:vAlign w:val="bottom"/>
            <w:hideMark/>
          </w:tcPr>
          <w:p w:rsidR="00285196" w:rsidRPr="00285196" w:rsidRDefault="00285196" w:rsidP="00285196">
            <w:pPr>
              <w:spacing w:after="0" w:line="240" w:lineRule="auto"/>
              <w:jc w:val="center"/>
              <w:rPr>
                <w:rFonts w:ascii="Arial" w:eastAsia="Times New Roman" w:hAnsi="Arial" w:cs="Arial"/>
                <w:b/>
                <w:bCs/>
                <w:color w:val="FFFFFF"/>
                <w:sz w:val="24"/>
                <w:szCs w:val="24"/>
                <w:lang w:eastAsia="tr-TR"/>
              </w:rPr>
            </w:pPr>
            <w:r w:rsidRPr="00285196">
              <w:rPr>
                <w:rFonts w:ascii="Arial" w:eastAsia="Times New Roman" w:hAnsi="Arial" w:cs="Arial"/>
                <w:b/>
                <w:bCs/>
                <w:color w:val="FFFFFF"/>
                <w:sz w:val="24"/>
                <w:szCs w:val="24"/>
                <w:lang w:eastAsia="tr-TR"/>
              </w:rPr>
              <w:t>Business Operations</w:t>
            </w:r>
          </w:p>
        </w:tc>
      </w:tr>
      <w:tr w:rsidR="00285196" w:rsidRPr="00285196" w:rsidTr="00285196">
        <w:tc>
          <w:tcPr>
            <w:tcW w:w="0" w:type="auto"/>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Cipla Ltd</w:t>
            </w:r>
          </w:p>
        </w:tc>
        <w:tc>
          <w:tcPr>
            <w:tcW w:w="0" w:type="auto"/>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p>
        </w:tc>
        <w:tc>
          <w:tcPr>
            <w:tcW w:w="0" w:type="auto"/>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proofErr w:type="gramStart"/>
            <w:r w:rsidRPr="00285196">
              <w:rPr>
                <w:rFonts w:ascii="inherit" w:eastAsia="Times New Roman" w:hAnsi="inherit" w:cs="Times New Roman"/>
                <w:sz w:val="24"/>
                <w:szCs w:val="24"/>
                <w:lang w:eastAsia="tr-TR"/>
              </w:rPr>
              <w:t>650072015</w:t>
            </w:r>
            <w:proofErr w:type="gramEnd"/>
          </w:p>
        </w:tc>
        <w:tc>
          <w:tcPr>
            <w:tcW w:w="0" w:type="auto"/>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285196" w:rsidRPr="00285196" w:rsidRDefault="00285196" w:rsidP="00285196">
            <w:pPr>
              <w:spacing w:after="0" w:line="240" w:lineRule="auto"/>
              <w:rPr>
                <w:rFonts w:ascii="inherit" w:eastAsia="Times New Roman" w:hAnsi="inherit" w:cs="Times New Roman"/>
                <w:sz w:val="24"/>
                <w:szCs w:val="24"/>
                <w:lang w:eastAsia="tr-TR"/>
              </w:rPr>
            </w:pPr>
            <w:r w:rsidRPr="00285196">
              <w:rPr>
                <w:rFonts w:ascii="inherit" w:eastAsia="Times New Roman" w:hAnsi="inherit" w:cs="Times New Roman"/>
                <w:sz w:val="24"/>
                <w:szCs w:val="24"/>
                <w:lang w:eastAsia="tr-TR"/>
              </w:rPr>
              <w:t>analysis(43598-427) , manufacture(43598-427)</w:t>
            </w:r>
          </w:p>
        </w:tc>
      </w:tr>
    </w:tbl>
    <w:p w:rsidR="00285196" w:rsidRPr="00285196" w:rsidRDefault="00285196" w:rsidP="00285196">
      <w:pPr>
        <w:numPr>
          <w:ilvl w:val="0"/>
          <w:numId w:val="13"/>
        </w:numPr>
        <w:spacing w:line="240" w:lineRule="auto"/>
        <w:ind w:left="600" w:right="150"/>
        <w:textAlignment w:val="baseline"/>
        <w:rPr>
          <w:rFonts w:ascii="inherit" w:eastAsia="Times New Roman" w:hAnsi="inherit" w:cs="Arial"/>
          <w:color w:val="222222"/>
          <w:sz w:val="21"/>
          <w:szCs w:val="21"/>
          <w:lang w:eastAsia="tr-TR"/>
        </w:rPr>
      </w:pPr>
      <w:hyperlink r:id="rId144" w:history="1">
        <w:r w:rsidRPr="00285196">
          <w:rPr>
            <w:rFonts w:ascii="Arial" w:eastAsia="Times New Roman" w:hAnsi="Arial" w:cs="Arial"/>
            <w:caps/>
            <w:color w:val="1D86BB"/>
            <w:sz w:val="18"/>
            <w:szCs w:val="18"/>
            <w:u w:val="single"/>
            <w:bdr w:val="none" w:sz="0" w:space="0" w:color="auto" w:frame="1"/>
            <w:lang w:eastAsia="tr-TR"/>
          </w:rPr>
          <w:t>CLOSE</w:t>
        </w:r>
      </w:hyperlink>
    </w:p>
    <w:p w:rsidR="00063D47" w:rsidRDefault="00063D47"/>
    <w:p w:rsidR="00285196" w:rsidRDefault="00285196"/>
    <w:p w:rsidR="00285196" w:rsidRPr="00285196" w:rsidRDefault="00285196" w:rsidP="00285196">
      <w:pPr>
        <w:spacing w:after="0" w:line="336" w:lineRule="atLeast"/>
        <w:rPr>
          <w:rFonts w:ascii="Arial" w:eastAsia="Times New Roman" w:hAnsi="Arial" w:cs="Arial"/>
          <w:color w:val="000000"/>
          <w:sz w:val="21"/>
          <w:szCs w:val="21"/>
          <w:lang w:eastAsia="tr-TR"/>
        </w:rPr>
      </w:pPr>
      <w:r w:rsidRPr="00285196">
        <w:rPr>
          <w:rFonts w:ascii="Arial" w:eastAsia="Times New Roman" w:hAnsi="Arial" w:cs="Arial"/>
          <w:noProof/>
          <w:color w:val="1A3D85"/>
          <w:sz w:val="21"/>
          <w:szCs w:val="21"/>
          <w:bdr w:val="none" w:sz="0" w:space="0" w:color="auto" w:frame="1"/>
          <w:lang w:eastAsia="tr-TR"/>
        </w:rPr>
        <w:drawing>
          <wp:inline distT="0" distB="0" distL="0" distR="0" wp14:anchorId="60CE5A81" wp14:editId="6772E5CC">
            <wp:extent cx="2362200" cy="314325"/>
            <wp:effectExtent l="0" t="0" r="0" b="9525"/>
            <wp:docPr id="7" name="Resim 7" descr="ClinicalTrials.gov">
              <a:hlinkClick xmlns:a="http://schemas.openxmlformats.org/drawingml/2006/main" r:id="rId1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ClinicalTrials.gov">
                      <a:hlinkClick r:id="rId145"/>
                    </pic:cNvPr>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2362200" cy="314325"/>
                    </a:xfrm>
                    <a:prstGeom prst="rect">
                      <a:avLst/>
                    </a:prstGeom>
                    <a:noFill/>
                    <a:ln>
                      <a:noFill/>
                    </a:ln>
                  </pic:spPr>
                </pic:pic>
              </a:graphicData>
            </a:graphic>
          </wp:inline>
        </w:drawing>
      </w:r>
    </w:p>
    <w:p w:rsidR="00285196" w:rsidRPr="00285196" w:rsidRDefault="00285196" w:rsidP="00285196">
      <w:pPr>
        <w:spacing w:after="0" w:line="336" w:lineRule="atLeast"/>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A service of the U.S. National Institutes of Health</w:t>
      </w:r>
    </w:p>
    <w:p w:rsidR="00285196" w:rsidRPr="00285196" w:rsidRDefault="00285196" w:rsidP="00285196">
      <w:pPr>
        <w:spacing w:before="90" w:after="45" w:line="336" w:lineRule="atLeast"/>
        <w:ind w:left="1875"/>
        <w:rPr>
          <w:rFonts w:ascii="Arial" w:eastAsia="Times New Roman" w:hAnsi="Arial" w:cs="Arial"/>
          <w:i/>
          <w:iCs/>
          <w:color w:val="666666"/>
          <w:sz w:val="20"/>
          <w:szCs w:val="20"/>
          <w:lang w:eastAsia="tr-TR"/>
        </w:rPr>
      </w:pPr>
      <w:r w:rsidRPr="00285196">
        <w:rPr>
          <w:rFonts w:ascii="Arial" w:eastAsia="Times New Roman" w:hAnsi="Arial" w:cs="Arial"/>
          <w:i/>
          <w:iCs/>
          <w:color w:val="666666"/>
          <w:sz w:val="20"/>
          <w:szCs w:val="20"/>
          <w:lang w:eastAsia="tr-TR"/>
        </w:rPr>
        <w:t>Example: "Heart attack" AND "Los Angeles"</w:t>
      </w:r>
    </w:p>
    <w:p w:rsidR="00285196" w:rsidRPr="00285196" w:rsidRDefault="00285196" w:rsidP="00285196">
      <w:pPr>
        <w:pBdr>
          <w:bottom w:val="single" w:sz="6" w:space="1" w:color="auto"/>
        </w:pBdr>
        <w:spacing w:after="0" w:line="240" w:lineRule="auto"/>
        <w:jc w:val="center"/>
        <w:rPr>
          <w:rFonts w:ascii="Arial" w:eastAsia="Times New Roman" w:hAnsi="Arial" w:cs="Arial"/>
          <w:vanish/>
          <w:sz w:val="16"/>
          <w:szCs w:val="16"/>
          <w:lang w:eastAsia="tr-TR"/>
        </w:rPr>
      </w:pPr>
      <w:r w:rsidRPr="00285196">
        <w:rPr>
          <w:rFonts w:ascii="Arial" w:eastAsia="Times New Roman" w:hAnsi="Arial" w:cs="Arial"/>
          <w:vanish/>
          <w:sz w:val="16"/>
          <w:szCs w:val="16"/>
          <w:lang w:eastAsia="tr-TR"/>
        </w:rPr>
        <w:t>Formun Üstü</w:t>
      </w:r>
    </w:p>
    <w:p w:rsidR="00285196" w:rsidRPr="00285196" w:rsidRDefault="00285196" w:rsidP="00285196">
      <w:pPr>
        <w:spacing w:after="0" w:line="336" w:lineRule="atLeast"/>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Search for studies: </w:t>
      </w:r>
    </w:p>
    <w:p w:rsidR="00285196" w:rsidRPr="00285196" w:rsidRDefault="00285196" w:rsidP="00285196">
      <w:pPr>
        <w:spacing w:after="0" w:line="336" w:lineRule="atLeast"/>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5" type="#_x0000_t75" style="width:60.75pt;height:18pt" o:ole="">
            <v:imagedata r:id="rId147" o:title=""/>
          </v:shape>
          <w:control r:id="rId148" w:name="DefaultOcxName" w:shapeid="_x0000_i1065"/>
        </w:object>
      </w:r>
    </w:p>
    <w:p w:rsidR="00285196" w:rsidRPr="00285196" w:rsidRDefault="00285196" w:rsidP="00285196">
      <w:pPr>
        <w:spacing w:after="0" w:line="336" w:lineRule="atLeast"/>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 </w:t>
      </w:r>
    </w:p>
    <w:p w:rsidR="00285196" w:rsidRPr="00285196" w:rsidRDefault="00285196" w:rsidP="00285196">
      <w:pPr>
        <w:spacing w:after="0" w:line="336" w:lineRule="atLeast"/>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object w:dxaOrig="225" w:dyaOrig="225">
          <v:shape id="_x0000_i1064" type="#_x0000_t75" style="width:39pt;height:22.5pt" o:ole="">
            <v:imagedata r:id="rId149" o:title=""/>
          </v:shape>
          <w:control r:id="rId150" w:name="DefaultOcxName1" w:shapeid="_x0000_i1064"/>
        </w:object>
      </w:r>
    </w:p>
    <w:p w:rsidR="00285196" w:rsidRPr="00285196" w:rsidRDefault="00285196" w:rsidP="00285196">
      <w:pPr>
        <w:pBdr>
          <w:top w:val="single" w:sz="6" w:space="1" w:color="auto"/>
        </w:pBdr>
        <w:spacing w:after="0" w:line="240" w:lineRule="auto"/>
        <w:jc w:val="center"/>
        <w:rPr>
          <w:rFonts w:ascii="Arial" w:eastAsia="Times New Roman" w:hAnsi="Arial" w:cs="Arial"/>
          <w:vanish/>
          <w:sz w:val="16"/>
          <w:szCs w:val="16"/>
          <w:lang w:eastAsia="tr-TR"/>
        </w:rPr>
      </w:pPr>
      <w:r w:rsidRPr="00285196">
        <w:rPr>
          <w:rFonts w:ascii="Arial" w:eastAsia="Times New Roman" w:hAnsi="Arial" w:cs="Arial"/>
          <w:vanish/>
          <w:sz w:val="16"/>
          <w:szCs w:val="16"/>
          <w:lang w:eastAsia="tr-TR"/>
        </w:rPr>
        <w:t>Formun Altı</w:t>
      </w:r>
    </w:p>
    <w:p w:rsidR="00285196" w:rsidRPr="00285196" w:rsidRDefault="00285196" w:rsidP="00285196">
      <w:pPr>
        <w:numPr>
          <w:ilvl w:val="0"/>
          <w:numId w:val="14"/>
        </w:numPr>
        <w:pBdr>
          <w:right w:val="single" w:sz="6" w:space="5" w:color="CCCCCC"/>
        </w:pBdr>
        <w:spacing w:before="100" w:beforeAutospacing="1" w:after="60" w:line="336" w:lineRule="atLeast"/>
        <w:ind w:left="1920" w:right="135"/>
        <w:rPr>
          <w:rFonts w:ascii="Arial" w:eastAsia="Times New Roman" w:hAnsi="Arial" w:cs="Arial"/>
          <w:color w:val="000000"/>
          <w:sz w:val="21"/>
          <w:szCs w:val="21"/>
          <w:lang w:eastAsia="tr-TR"/>
        </w:rPr>
      </w:pPr>
      <w:hyperlink r:id="rId151" w:history="1">
        <w:r w:rsidRPr="00285196">
          <w:rPr>
            <w:rFonts w:ascii="Arial" w:eastAsia="Times New Roman" w:hAnsi="Arial" w:cs="Arial"/>
            <w:color w:val="1A3D85"/>
            <w:sz w:val="21"/>
            <w:szCs w:val="21"/>
            <w:u w:val="single"/>
            <w:lang w:eastAsia="tr-TR"/>
          </w:rPr>
          <w:t>Advanced Search</w:t>
        </w:r>
      </w:hyperlink>
    </w:p>
    <w:p w:rsidR="00285196" w:rsidRPr="00285196" w:rsidRDefault="00285196" w:rsidP="00285196">
      <w:pPr>
        <w:spacing w:after="0" w:line="336" w:lineRule="atLeast"/>
        <w:ind w:left="1920" w:right="45"/>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 </w:t>
      </w:r>
    </w:p>
    <w:p w:rsidR="00285196" w:rsidRPr="00285196" w:rsidRDefault="00285196" w:rsidP="00285196">
      <w:pPr>
        <w:numPr>
          <w:ilvl w:val="0"/>
          <w:numId w:val="14"/>
        </w:numPr>
        <w:pBdr>
          <w:right w:val="single" w:sz="6" w:space="5" w:color="CCCCCC"/>
        </w:pBdr>
        <w:spacing w:before="100" w:beforeAutospacing="1" w:after="60" w:line="336" w:lineRule="atLeast"/>
        <w:ind w:left="1920" w:right="135"/>
        <w:rPr>
          <w:rFonts w:ascii="Arial" w:eastAsia="Times New Roman" w:hAnsi="Arial" w:cs="Arial"/>
          <w:color w:val="000000"/>
          <w:sz w:val="21"/>
          <w:szCs w:val="21"/>
          <w:lang w:eastAsia="tr-TR"/>
        </w:rPr>
      </w:pPr>
      <w:hyperlink r:id="rId152" w:history="1">
        <w:r w:rsidRPr="00285196">
          <w:rPr>
            <w:rFonts w:ascii="Arial" w:eastAsia="Times New Roman" w:hAnsi="Arial" w:cs="Arial"/>
            <w:color w:val="1A3D85"/>
            <w:sz w:val="21"/>
            <w:szCs w:val="21"/>
            <w:u w:val="single"/>
            <w:lang w:eastAsia="tr-TR"/>
          </w:rPr>
          <w:t>Help</w:t>
        </w:r>
      </w:hyperlink>
    </w:p>
    <w:p w:rsidR="00285196" w:rsidRPr="00285196" w:rsidRDefault="00285196" w:rsidP="00285196">
      <w:pPr>
        <w:spacing w:after="0" w:line="336" w:lineRule="atLeast"/>
        <w:ind w:left="1920" w:right="45"/>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 </w:t>
      </w:r>
    </w:p>
    <w:p w:rsidR="00285196" w:rsidRPr="00285196" w:rsidRDefault="00285196" w:rsidP="00285196">
      <w:pPr>
        <w:numPr>
          <w:ilvl w:val="0"/>
          <w:numId w:val="14"/>
        </w:numPr>
        <w:pBdr>
          <w:right w:val="single" w:sz="6" w:space="5" w:color="CCCCCC"/>
        </w:pBdr>
        <w:spacing w:before="100" w:beforeAutospacing="1" w:after="60" w:line="336" w:lineRule="atLeast"/>
        <w:ind w:left="1920" w:right="135"/>
        <w:rPr>
          <w:rFonts w:ascii="Arial" w:eastAsia="Times New Roman" w:hAnsi="Arial" w:cs="Arial"/>
          <w:color w:val="000000"/>
          <w:sz w:val="21"/>
          <w:szCs w:val="21"/>
          <w:lang w:eastAsia="tr-TR"/>
        </w:rPr>
      </w:pPr>
      <w:hyperlink r:id="rId153" w:history="1">
        <w:r w:rsidRPr="00285196">
          <w:rPr>
            <w:rFonts w:ascii="Arial" w:eastAsia="Times New Roman" w:hAnsi="Arial" w:cs="Arial"/>
            <w:color w:val="1A3D85"/>
            <w:sz w:val="21"/>
            <w:szCs w:val="21"/>
            <w:u w:val="single"/>
            <w:lang w:eastAsia="tr-TR"/>
          </w:rPr>
          <w:t>Studies by Topic</w:t>
        </w:r>
      </w:hyperlink>
    </w:p>
    <w:p w:rsidR="00285196" w:rsidRPr="00285196" w:rsidRDefault="00285196" w:rsidP="00285196">
      <w:pPr>
        <w:spacing w:after="0" w:line="336" w:lineRule="atLeast"/>
        <w:ind w:left="1920" w:right="45"/>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t> </w:t>
      </w:r>
    </w:p>
    <w:p w:rsidR="00285196" w:rsidRPr="00285196" w:rsidRDefault="00285196" w:rsidP="00285196">
      <w:pPr>
        <w:numPr>
          <w:ilvl w:val="0"/>
          <w:numId w:val="14"/>
        </w:numPr>
        <w:spacing w:before="100" w:beforeAutospacing="1" w:after="60" w:line="336" w:lineRule="atLeast"/>
        <w:ind w:left="1920" w:right="135"/>
        <w:rPr>
          <w:rFonts w:ascii="Arial" w:eastAsia="Times New Roman" w:hAnsi="Arial" w:cs="Arial"/>
          <w:color w:val="000000"/>
          <w:sz w:val="21"/>
          <w:szCs w:val="21"/>
          <w:lang w:eastAsia="tr-TR"/>
        </w:rPr>
      </w:pPr>
      <w:hyperlink r:id="rId154" w:history="1">
        <w:r w:rsidRPr="00285196">
          <w:rPr>
            <w:rFonts w:ascii="Arial" w:eastAsia="Times New Roman" w:hAnsi="Arial" w:cs="Arial"/>
            <w:color w:val="1A3D85"/>
            <w:sz w:val="21"/>
            <w:szCs w:val="21"/>
            <w:u w:val="single"/>
            <w:lang w:eastAsia="tr-TR"/>
          </w:rPr>
          <w:t>Glossary</w:t>
        </w:r>
      </w:hyperlink>
    </w:p>
    <w:p w:rsidR="00285196" w:rsidRPr="00285196" w:rsidRDefault="00285196" w:rsidP="00285196">
      <w:pPr>
        <w:numPr>
          <w:ilvl w:val="0"/>
          <w:numId w:val="15"/>
        </w:numPr>
        <w:shd w:val="clear" w:color="auto" w:fill="D1DFEE"/>
        <w:spacing w:after="0" w:line="336" w:lineRule="atLeast"/>
        <w:ind w:left="0"/>
        <w:rPr>
          <w:rFonts w:ascii="Arial" w:eastAsia="Times New Roman" w:hAnsi="Arial" w:cs="Arial"/>
          <w:b/>
          <w:bCs/>
          <w:color w:val="000000"/>
          <w:sz w:val="21"/>
          <w:szCs w:val="21"/>
          <w:lang w:eastAsia="tr-TR"/>
        </w:rPr>
      </w:pPr>
      <w:hyperlink r:id="rId155" w:history="1">
        <w:r w:rsidRPr="00285196">
          <w:rPr>
            <w:rFonts w:ascii="Arial" w:eastAsia="Times New Roman" w:hAnsi="Arial" w:cs="Arial"/>
            <w:b/>
            <w:bCs/>
            <w:color w:val="1A3D85"/>
            <w:sz w:val="21"/>
            <w:szCs w:val="21"/>
            <w:u w:val="single"/>
            <w:bdr w:val="single" w:sz="6" w:space="5" w:color="CFDEFF" w:frame="1"/>
            <w:lang w:eastAsia="tr-TR"/>
          </w:rPr>
          <w:t>Find Studies</w:t>
        </w:r>
        <w:proofErr w:type="gramStart"/>
        <w:r w:rsidRPr="00285196">
          <w:rPr>
            <w:rFonts w:ascii="Arial" w:eastAsia="Times New Roman" w:hAnsi="Arial" w:cs="Arial"/>
            <w:b/>
            <w:bCs/>
            <w:color w:val="1A3D85"/>
            <w:sz w:val="21"/>
            <w:szCs w:val="21"/>
            <w:bdr w:val="single" w:sz="6" w:space="5" w:color="CFDEFF" w:frame="1"/>
            <w:lang w:eastAsia="tr-TR"/>
          </w:rPr>
          <w:t>»</w:t>
        </w:r>
        <w:proofErr w:type="gramEnd"/>
      </w:hyperlink>
    </w:p>
    <w:p w:rsidR="00285196" w:rsidRPr="00285196" w:rsidRDefault="00285196" w:rsidP="00285196">
      <w:pPr>
        <w:numPr>
          <w:ilvl w:val="0"/>
          <w:numId w:val="15"/>
        </w:numPr>
        <w:shd w:val="clear" w:color="auto" w:fill="D1DFEE"/>
        <w:spacing w:after="0" w:line="336" w:lineRule="atLeast"/>
        <w:ind w:left="0"/>
        <w:rPr>
          <w:rFonts w:ascii="Arial" w:eastAsia="Times New Roman" w:hAnsi="Arial" w:cs="Arial"/>
          <w:b/>
          <w:bCs/>
          <w:color w:val="000000"/>
          <w:sz w:val="21"/>
          <w:szCs w:val="21"/>
          <w:lang w:eastAsia="tr-TR"/>
        </w:rPr>
      </w:pPr>
      <w:hyperlink r:id="rId156" w:history="1">
        <w:r w:rsidRPr="00285196">
          <w:rPr>
            <w:rFonts w:ascii="Arial" w:eastAsia="Times New Roman" w:hAnsi="Arial" w:cs="Arial"/>
            <w:b/>
            <w:bCs/>
            <w:color w:val="1A3D85"/>
            <w:sz w:val="21"/>
            <w:szCs w:val="21"/>
            <w:u w:val="single"/>
            <w:bdr w:val="single" w:sz="6" w:space="5" w:color="CFDEFF" w:frame="1"/>
            <w:lang w:eastAsia="tr-TR"/>
          </w:rPr>
          <w:t>About Clinical Studies</w:t>
        </w:r>
        <w:proofErr w:type="gramStart"/>
        <w:r w:rsidRPr="00285196">
          <w:rPr>
            <w:rFonts w:ascii="Arial" w:eastAsia="Times New Roman" w:hAnsi="Arial" w:cs="Arial"/>
            <w:b/>
            <w:bCs/>
            <w:color w:val="1A3D85"/>
            <w:sz w:val="21"/>
            <w:szCs w:val="21"/>
            <w:bdr w:val="single" w:sz="6" w:space="5" w:color="CFDEFF" w:frame="1"/>
            <w:lang w:eastAsia="tr-TR"/>
          </w:rPr>
          <w:t>»</w:t>
        </w:r>
        <w:proofErr w:type="gramEnd"/>
      </w:hyperlink>
    </w:p>
    <w:p w:rsidR="00285196" w:rsidRPr="00285196" w:rsidRDefault="00285196" w:rsidP="00285196">
      <w:pPr>
        <w:numPr>
          <w:ilvl w:val="0"/>
          <w:numId w:val="15"/>
        </w:numPr>
        <w:shd w:val="clear" w:color="auto" w:fill="D1DFEE"/>
        <w:spacing w:after="0" w:line="336" w:lineRule="atLeast"/>
        <w:ind w:left="0"/>
        <w:rPr>
          <w:rFonts w:ascii="Arial" w:eastAsia="Times New Roman" w:hAnsi="Arial" w:cs="Arial"/>
          <w:b/>
          <w:bCs/>
          <w:color w:val="000000"/>
          <w:sz w:val="21"/>
          <w:szCs w:val="21"/>
          <w:lang w:eastAsia="tr-TR"/>
        </w:rPr>
      </w:pPr>
      <w:hyperlink r:id="rId157" w:history="1">
        <w:r w:rsidRPr="00285196">
          <w:rPr>
            <w:rFonts w:ascii="Arial" w:eastAsia="Times New Roman" w:hAnsi="Arial" w:cs="Arial"/>
            <w:b/>
            <w:bCs/>
            <w:color w:val="1A3D85"/>
            <w:sz w:val="21"/>
            <w:szCs w:val="21"/>
            <w:u w:val="single"/>
            <w:bdr w:val="single" w:sz="6" w:space="5" w:color="CFDEFF" w:frame="1"/>
            <w:lang w:eastAsia="tr-TR"/>
          </w:rPr>
          <w:t>Submit Studies</w:t>
        </w:r>
        <w:proofErr w:type="gramStart"/>
        <w:r w:rsidRPr="00285196">
          <w:rPr>
            <w:rFonts w:ascii="Arial" w:eastAsia="Times New Roman" w:hAnsi="Arial" w:cs="Arial"/>
            <w:b/>
            <w:bCs/>
            <w:color w:val="1A3D85"/>
            <w:sz w:val="21"/>
            <w:szCs w:val="21"/>
            <w:bdr w:val="single" w:sz="6" w:space="5" w:color="CFDEFF" w:frame="1"/>
            <w:lang w:eastAsia="tr-TR"/>
          </w:rPr>
          <w:t>»</w:t>
        </w:r>
        <w:proofErr w:type="gramEnd"/>
      </w:hyperlink>
    </w:p>
    <w:p w:rsidR="00285196" w:rsidRPr="00285196" w:rsidRDefault="00285196" w:rsidP="00285196">
      <w:pPr>
        <w:numPr>
          <w:ilvl w:val="0"/>
          <w:numId w:val="15"/>
        </w:numPr>
        <w:shd w:val="clear" w:color="auto" w:fill="D1DFEE"/>
        <w:spacing w:after="0" w:line="336" w:lineRule="atLeast"/>
        <w:ind w:left="0"/>
        <w:rPr>
          <w:rFonts w:ascii="Arial" w:eastAsia="Times New Roman" w:hAnsi="Arial" w:cs="Arial"/>
          <w:b/>
          <w:bCs/>
          <w:color w:val="000000"/>
          <w:sz w:val="21"/>
          <w:szCs w:val="21"/>
          <w:lang w:eastAsia="tr-TR"/>
        </w:rPr>
      </w:pPr>
      <w:hyperlink r:id="rId158" w:history="1">
        <w:r w:rsidRPr="00285196">
          <w:rPr>
            <w:rFonts w:ascii="Arial" w:eastAsia="Times New Roman" w:hAnsi="Arial" w:cs="Arial"/>
            <w:b/>
            <w:bCs/>
            <w:color w:val="1A3D85"/>
            <w:sz w:val="21"/>
            <w:szCs w:val="21"/>
            <w:u w:val="single"/>
            <w:bdr w:val="single" w:sz="6" w:space="5" w:color="CFDEFF" w:frame="1"/>
            <w:lang w:eastAsia="tr-TR"/>
          </w:rPr>
          <w:t>Resources</w:t>
        </w:r>
        <w:proofErr w:type="gramStart"/>
        <w:r w:rsidRPr="00285196">
          <w:rPr>
            <w:rFonts w:ascii="Arial" w:eastAsia="Times New Roman" w:hAnsi="Arial" w:cs="Arial"/>
            <w:b/>
            <w:bCs/>
            <w:color w:val="1A3D85"/>
            <w:sz w:val="21"/>
            <w:szCs w:val="21"/>
            <w:bdr w:val="single" w:sz="6" w:space="5" w:color="CFDEFF" w:frame="1"/>
            <w:lang w:eastAsia="tr-TR"/>
          </w:rPr>
          <w:t>»</w:t>
        </w:r>
        <w:proofErr w:type="gramEnd"/>
      </w:hyperlink>
    </w:p>
    <w:p w:rsidR="00285196" w:rsidRPr="00285196" w:rsidRDefault="00285196" w:rsidP="00285196">
      <w:pPr>
        <w:numPr>
          <w:ilvl w:val="0"/>
          <w:numId w:val="15"/>
        </w:numPr>
        <w:shd w:val="clear" w:color="auto" w:fill="D1DFEE"/>
        <w:spacing w:after="0" w:line="336" w:lineRule="atLeast"/>
        <w:ind w:left="0"/>
        <w:rPr>
          <w:rFonts w:ascii="Arial" w:eastAsia="Times New Roman" w:hAnsi="Arial" w:cs="Arial"/>
          <w:b/>
          <w:bCs/>
          <w:color w:val="000000"/>
          <w:sz w:val="21"/>
          <w:szCs w:val="21"/>
          <w:lang w:eastAsia="tr-TR"/>
        </w:rPr>
      </w:pPr>
      <w:hyperlink r:id="rId159" w:history="1">
        <w:r w:rsidRPr="00285196">
          <w:rPr>
            <w:rFonts w:ascii="Arial" w:eastAsia="Times New Roman" w:hAnsi="Arial" w:cs="Arial"/>
            <w:b/>
            <w:bCs/>
            <w:color w:val="1A3D85"/>
            <w:sz w:val="21"/>
            <w:szCs w:val="21"/>
            <w:u w:val="single"/>
            <w:bdr w:val="single" w:sz="6" w:space="5" w:color="CFDEFF" w:frame="1"/>
            <w:lang w:eastAsia="tr-TR"/>
          </w:rPr>
          <w:t>About This Site</w:t>
        </w:r>
        <w:proofErr w:type="gramStart"/>
        <w:r w:rsidRPr="00285196">
          <w:rPr>
            <w:rFonts w:ascii="Arial" w:eastAsia="Times New Roman" w:hAnsi="Arial" w:cs="Arial"/>
            <w:b/>
            <w:bCs/>
            <w:color w:val="1A3D85"/>
            <w:sz w:val="21"/>
            <w:szCs w:val="21"/>
            <w:bdr w:val="single" w:sz="6" w:space="5" w:color="CFDEFF" w:frame="1"/>
            <w:lang w:eastAsia="tr-TR"/>
          </w:rPr>
          <w:t>»</w:t>
        </w:r>
        <w:proofErr w:type="gramEnd"/>
      </w:hyperlink>
    </w:p>
    <w:p w:rsidR="00285196" w:rsidRPr="00285196" w:rsidRDefault="00285196" w:rsidP="00285196">
      <w:pPr>
        <w:spacing w:after="0" w:line="336" w:lineRule="atLeast"/>
        <w:jc w:val="right"/>
        <w:rPr>
          <w:rFonts w:ascii="Arial" w:eastAsia="Times New Roman" w:hAnsi="Arial" w:cs="Arial"/>
          <w:color w:val="000000"/>
          <w:sz w:val="21"/>
          <w:szCs w:val="21"/>
          <w:lang w:eastAsia="tr-TR"/>
        </w:rPr>
      </w:pPr>
      <w:hyperlink r:id="rId160" w:history="1">
        <w:r w:rsidRPr="00285196">
          <w:rPr>
            <w:rFonts w:ascii="Arial" w:eastAsia="Times New Roman" w:hAnsi="Arial" w:cs="Arial"/>
            <w:color w:val="1A3D85"/>
            <w:sz w:val="21"/>
            <w:szCs w:val="21"/>
            <w:u w:val="single"/>
            <w:lang w:eastAsia="tr-TR"/>
          </w:rPr>
          <w:t>Text Size</w:t>
        </w:r>
      </w:hyperlink>
    </w:p>
    <w:p w:rsidR="00285196" w:rsidRPr="00285196" w:rsidRDefault="00285196" w:rsidP="00285196">
      <w:pPr>
        <w:numPr>
          <w:ilvl w:val="0"/>
          <w:numId w:val="16"/>
        </w:numPr>
        <w:spacing w:before="60" w:after="0" w:line="315" w:lineRule="atLeast"/>
        <w:ind w:left="90"/>
        <w:rPr>
          <w:rFonts w:ascii="Arial" w:eastAsia="Times New Roman" w:hAnsi="Arial" w:cs="Arial"/>
          <w:color w:val="666666"/>
          <w:sz w:val="21"/>
          <w:szCs w:val="21"/>
          <w:lang w:eastAsia="tr-TR"/>
        </w:rPr>
      </w:pPr>
      <w:hyperlink r:id="rId161" w:history="1">
        <w:r w:rsidRPr="00285196">
          <w:rPr>
            <w:rFonts w:ascii="Arial" w:eastAsia="Times New Roman" w:hAnsi="Arial" w:cs="Arial"/>
            <w:color w:val="1A3D85"/>
            <w:sz w:val="21"/>
            <w:szCs w:val="21"/>
            <w:u w:val="single"/>
            <w:lang w:eastAsia="tr-TR"/>
          </w:rPr>
          <w:t>Home</w:t>
        </w:r>
      </w:hyperlink>
    </w:p>
    <w:p w:rsidR="00285196" w:rsidRPr="00285196" w:rsidRDefault="00285196" w:rsidP="00285196">
      <w:pPr>
        <w:numPr>
          <w:ilvl w:val="0"/>
          <w:numId w:val="16"/>
        </w:numPr>
        <w:spacing w:before="60" w:after="0" w:line="315" w:lineRule="atLeast"/>
        <w:ind w:left="90"/>
        <w:rPr>
          <w:rFonts w:ascii="Arial" w:eastAsia="Times New Roman" w:hAnsi="Arial" w:cs="Arial"/>
          <w:color w:val="666666"/>
          <w:sz w:val="21"/>
          <w:szCs w:val="21"/>
          <w:lang w:eastAsia="tr-TR"/>
        </w:rPr>
      </w:pPr>
      <w:hyperlink r:id="rId162" w:history="1">
        <w:r w:rsidRPr="00285196">
          <w:rPr>
            <w:rFonts w:ascii="Arial" w:eastAsia="Times New Roman" w:hAnsi="Arial" w:cs="Arial"/>
            <w:color w:val="1A3D85"/>
            <w:sz w:val="21"/>
            <w:szCs w:val="21"/>
            <w:u w:val="single"/>
            <w:lang w:eastAsia="tr-TR"/>
          </w:rPr>
          <w:t>Find Studies</w:t>
        </w:r>
      </w:hyperlink>
    </w:p>
    <w:p w:rsidR="00285196" w:rsidRPr="00285196" w:rsidRDefault="00285196" w:rsidP="00285196">
      <w:pPr>
        <w:numPr>
          <w:ilvl w:val="0"/>
          <w:numId w:val="16"/>
        </w:numPr>
        <w:spacing w:after="0" w:line="315" w:lineRule="atLeast"/>
        <w:ind w:left="90"/>
        <w:outlineLvl w:val="0"/>
        <w:rPr>
          <w:rFonts w:ascii="Arial" w:eastAsia="Times New Roman" w:hAnsi="Arial" w:cs="Arial"/>
          <w:color w:val="666666"/>
          <w:kern w:val="36"/>
          <w:sz w:val="21"/>
          <w:szCs w:val="21"/>
          <w:lang w:eastAsia="tr-TR"/>
        </w:rPr>
      </w:pPr>
      <w:r w:rsidRPr="00285196">
        <w:rPr>
          <w:rFonts w:ascii="Arial" w:eastAsia="Times New Roman" w:hAnsi="Arial" w:cs="Arial"/>
          <w:color w:val="666666"/>
          <w:kern w:val="36"/>
          <w:sz w:val="21"/>
          <w:szCs w:val="21"/>
          <w:lang w:eastAsia="tr-TR"/>
        </w:rPr>
        <w:t>Search Results</w:t>
      </w:r>
    </w:p>
    <w:p w:rsidR="00285196" w:rsidRPr="00285196" w:rsidRDefault="00285196" w:rsidP="00285196">
      <w:pPr>
        <w:shd w:val="clear" w:color="auto" w:fill="F6F6F6"/>
        <w:spacing w:after="0" w:line="336" w:lineRule="atLeast"/>
        <w:jc w:val="center"/>
        <w:rPr>
          <w:rFonts w:ascii="Arial" w:eastAsia="Times New Roman" w:hAnsi="Arial" w:cs="Arial"/>
          <w:color w:val="000000"/>
          <w:sz w:val="21"/>
          <w:szCs w:val="21"/>
          <w:lang w:eastAsia="tr-TR"/>
        </w:rPr>
      </w:pPr>
      <w:r w:rsidRPr="00285196">
        <w:rPr>
          <w:rFonts w:ascii="Arial" w:eastAsia="Times New Roman" w:hAnsi="Arial" w:cs="Arial"/>
          <w:b/>
          <w:bCs/>
          <w:color w:val="000000"/>
          <w:sz w:val="21"/>
          <w:szCs w:val="21"/>
          <w:lang w:eastAsia="tr-TR"/>
        </w:rPr>
        <w:t>243 studies found for</w:t>
      </w:r>
      <w:r w:rsidRPr="00285196">
        <w:rPr>
          <w:rFonts w:ascii="Arial" w:eastAsia="Times New Roman" w:hAnsi="Arial" w:cs="Arial"/>
          <w:color w:val="000000"/>
          <w:sz w:val="21"/>
          <w:szCs w:val="21"/>
          <w:lang w:eastAsia="tr-TR"/>
        </w:rPr>
        <w:t>:    Decitabine</w:t>
      </w:r>
    </w:p>
    <w:p w:rsidR="00285196" w:rsidRPr="00285196" w:rsidRDefault="00285196" w:rsidP="00285196">
      <w:pPr>
        <w:shd w:val="clear" w:color="auto" w:fill="F6F6F6"/>
        <w:spacing w:before="75" w:after="75" w:line="336" w:lineRule="atLeast"/>
        <w:ind w:left="75" w:right="75"/>
        <w:jc w:val="center"/>
        <w:rPr>
          <w:rFonts w:ascii="Arial" w:eastAsia="Times New Roman" w:hAnsi="Arial" w:cs="Arial"/>
          <w:color w:val="000000"/>
          <w:sz w:val="21"/>
          <w:szCs w:val="21"/>
          <w:lang w:eastAsia="tr-TR"/>
        </w:rPr>
      </w:pPr>
      <w:hyperlink r:id="rId163" w:tooltip="Modify this search" w:history="1">
        <w:r w:rsidRPr="00285196">
          <w:rPr>
            <w:rFonts w:ascii="Arial" w:eastAsia="Times New Roman" w:hAnsi="Arial" w:cs="Arial"/>
            <w:b/>
            <w:bCs/>
            <w:color w:val="1A3D85"/>
            <w:sz w:val="21"/>
            <w:szCs w:val="21"/>
            <w:lang w:eastAsia="tr-TR"/>
          </w:rPr>
          <w:t>Modify this search</w:t>
        </w:r>
      </w:hyperlink>
      <w:r w:rsidRPr="00285196">
        <w:rPr>
          <w:rFonts w:ascii="Arial" w:eastAsia="Times New Roman" w:hAnsi="Arial" w:cs="Arial"/>
          <w:color w:val="000000"/>
          <w:sz w:val="21"/>
          <w:szCs w:val="21"/>
          <w:lang w:eastAsia="tr-TR"/>
        </w:rPr>
        <w:t> | </w:t>
      </w:r>
      <w:hyperlink r:id="rId164" w:tooltip="How to Use Search Results - opens new window" w:history="1">
        <w:r w:rsidRPr="00285196">
          <w:rPr>
            <w:rFonts w:ascii="Arial" w:eastAsia="Times New Roman" w:hAnsi="Arial" w:cs="Arial"/>
            <w:color w:val="1A3D85"/>
            <w:sz w:val="21"/>
            <w:szCs w:val="21"/>
            <w:u w:val="single"/>
            <w:lang w:eastAsia="tr-TR"/>
          </w:rPr>
          <w:t>How to Use Search Results</w:t>
        </w:r>
      </w:hyperlink>
    </w:p>
    <w:p w:rsidR="00285196" w:rsidRPr="00285196" w:rsidRDefault="00285196" w:rsidP="00285196">
      <w:pPr>
        <w:numPr>
          <w:ilvl w:val="0"/>
          <w:numId w:val="17"/>
        </w:numPr>
        <w:pBdr>
          <w:top w:val="single" w:sz="6" w:space="5" w:color="CCCCCC"/>
          <w:left w:val="single" w:sz="6" w:space="9" w:color="CCCCCC"/>
          <w:bottom w:val="single" w:sz="18" w:space="5" w:color="FFFFFF"/>
          <w:right w:val="single" w:sz="6" w:space="9" w:color="CCCCCC"/>
        </w:pBdr>
        <w:shd w:val="clear" w:color="auto" w:fill="FFFFF6"/>
        <w:spacing w:before="100" w:beforeAutospacing="1" w:after="0" w:line="336" w:lineRule="atLeast"/>
        <w:ind w:left="45"/>
        <w:rPr>
          <w:rFonts w:ascii="Arial" w:eastAsia="Times New Roman" w:hAnsi="Arial" w:cs="Arial"/>
          <w:b/>
          <w:bCs/>
          <w:color w:val="8194BC"/>
          <w:sz w:val="21"/>
          <w:szCs w:val="21"/>
          <w:lang w:eastAsia="tr-TR"/>
        </w:rPr>
      </w:pPr>
      <w:r w:rsidRPr="00285196">
        <w:rPr>
          <w:rFonts w:ascii="Arial" w:eastAsia="Times New Roman" w:hAnsi="Arial" w:cs="Arial"/>
          <w:b/>
          <w:bCs/>
          <w:color w:val="000000"/>
          <w:sz w:val="21"/>
          <w:szCs w:val="21"/>
          <w:lang w:eastAsia="tr-TR"/>
        </w:rPr>
        <w:t>List</w:t>
      </w:r>
    </w:p>
    <w:p w:rsidR="00285196" w:rsidRPr="00285196" w:rsidRDefault="00285196" w:rsidP="00285196">
      <w:pPr>
        <w:numPr>
          <w:ilvl w:val="0"/>
          <w:numId w:val="17"/>
        </w:numPr>
        <w:pBdr>
          <w:top w:val="single" w:sz="6" w:space="5" w:color="CCCCCC"/>
          <w:left w:val="single" w:sz="6" w:space="9" w:color="CCCCCC"/>
          <w:right w:val="single" w:sz="6" w:space="9" w:color="CCCCCC"/>
        </w:pBdr>
        <w:shd w:val="clear" w:color="auto" w:fill="D1DFEE"/>
        <w:spacing w:before="100" w:beforeAutospacing="1" w:after="0" w:line="336" w:lineRule="atLeast"/>
        <w:ind w:left="45"/>
        <w:rPr>
          <w:rFonts w:ascii="Arial" w:eastAsia="Times New Roman" w:hAnsi="Arial" w:cs="Arial"/>
          <w:b/>
          <w:bCs/>
          <w:color w:val="8194BC"/>
          <w:sz w:val="21"/>
          <w:szCs w:val="21"/>
          <w:lang w:eastAsia="tr-TR"/>
        </w:rPr>
      </w:pPr>
      <w:hyperlink r:id="rId165" w:tooltip="By Topic" w:history="1">
        <w:r w:rsidRPr="00285196">
          <w:rPr>
            <w:rFonts w:ascii="Arial" w:eastAsia="Times New Roman" w:hAnsi="Arial" w:cs="Arial"/>
            <w:b/>
            <w:bCs/>
            <w:color w:val="1A3D85"/>
            <w:sz w:val="21"/>
            <w:szCs w:val="21"/>
            <w:u w:val="single"/>
            <w:bdr w:val="none" w:sz="0" w:space="0" w:color="auto" w:frame="1"/>
            <w:lang w:eastAsia="tr-TR"/>
          </w:rPr>
          <w:t>By Topic</w:t>
        </w:r>
      </w:hyperlink>
    </w:p>
    <w:p w:rsidR="00285196" w:rsidRPr="00285196" w:rsidRDefault="00285196" w:rsidP="00285196">
      <w:pPr>
        <w:numPr>
          <w:ilvl w:val="0"/>
          <w:numId w:val="17"/>
        </w:numPr>
        <w:pBdr>
          <w:top w:val="single" w:sz="6" w:space="5" w:color="CCCCCC"/>
          <w:left w:val="single" w:sz="6" w:space="9" w:color="CCCCCC"/>
          <w:right w:val="single" w:sz="6" w:space="9" w:color="CCCCCC"/>
        </w:pBdr>
        <w:shd w:val="clear" w:color="auto" w:fill="D1DFEE"/>
        <w:spacing w:before="100" w:beforeAutospacing="1" w:after="0" w:line="336" w:lineRule="atLeast"/>
        <w:ind w:left="45"/>
        <w:rPr>
          <w:rFonts w:ascii="Arial" w:eastAsia="Times New Roman" w:hAnsi="Arial" w:cs="Arial"/>
          <w:b/>
          <w:bCs/>
          <w:color w:val="8194BC"/>
          <w:sz w:val="21"/>
          <w:szCs w:val="21"/>
          <w:lang w:eastAsia="tr-TR"/>
        </w:rPr>
      </w:pPr>
      <w:hyperlink r:id="rId166" w:tooltip="On Map" w:history="1">
        <w:r w:rsidRPr="00285196">
          <w:rPr>
            <w:rFonts w:ascii="Arial" w:eastAsia="Times New Roman" w:hAnsi="Arial" w:cs="Arial"/>
            <w:b/>
            <w:bCs/>
            <w:color w:val="1A3D85"/>
            <w:sz w:val="21"/>
            <w:szCs w:val="21"/>
            <w:u w:val="single"/>
            <w:bdr w:val="none" w:sz="0" w:space="0" w:color="auto" w:frame="1"/>
            <w:lang w:eastAsia="tr-TR"/>
          </w:rPr>
          <w:t>On Map</w:t>
        </w:r>
      </w:hyperlink>
    </w:p>
    <w:p w:rsidR="00285196" w:rsidRPr="00285196" w:rsidRDefault="00285196" w:rsidP="00285196">
      <w:pPr>
        <w:numPr>
          <w:ilvl w:val="0"/>
          <w:numId w:val="17"/>
        </w:numPr>
        <w:pBdr>
          <w:top w:val="single" w:sz="6" w:space="5" w:color="CCCCCC"/>
          <w:left w:val="single" w:sz="6" w:space="9" w:color="CCCCCC"/>
          <w:right w:val="single" w:sz="6" w:space="9" w:color="CCCCCC"/>
        </w:pBdr>
        <w:shd w:val="clear" w:color="auto" w:fill="D1DFEE"/>
        <w:spacing w:before="100" w:beforeAutospacing="1" w:after="0" w:line="336" w:lineRule="atLeast"/>
        <w:ind w:left="45"/>
        <w:rPr>
          <w:rFonts w:ascii="Arial" w:eastAsia="Times New Roman" w:hAnsi="Arial" w:cs="Arial"/>
          <w:b/>
          <w:bCs/>
          <w:color w:val="8194BC"/>
          <w:sz w:val="21"/>
          <w:szCs w:val="21"/>
          <w:lang w:eastAsia="tr-TR"/>
        </w:rPr>
      </w:pPr>
      <w:hyperlink r:id="rId167" w:tooltip="Search Details" w:history="1">
        <w:r w:rsidRPr="00285196">
          <w:rPr>
            <w:rFonts w:ascii="Arial" w:eastAsia="Times New Roman" w:hAnsi="Arial" w:cs="Arial"/>
            <w:b/>
            <w:bCs/>
            <w:color w:val="1A3D85"/>
            <w:sz w:val="21"/>
            <w:szCs w:val="21"/>
            <w:u w:val="single"/>
            <w:bdr w:val="none" w:sz="0" w:space="0" w:color="auto" w:frame="1"/>
            <w:lang w:eastAsia="tr-TR"/>
          </w:rPr>
          <w:t>Search Details</w:t>
        </w:r>
      </w:hyperlink>
    </w:p>
    <w:p w:rsidR="00285196" w:rsidRPr="00285196" w:rsidRDefault="00285196" w:rsidP="00285196">
      <w:pPr>
        <w:spacing w:after="0" w:line="336" w:lineRule="atLeast"/>
        <w:rPr>
          <w:rFonts w:ascii="Arial" w:eastAsia="Times New Roman" w:hAnsi="Arial" w:cs="Arial"/>
          <w:color w:val="000000"/>
          <w:sz w:val="21"/>
          <w:szCs w:val="21"/>
          <w:lang w:eastAsia="tr-TR"/>
        </w:rPr>
      </w:pPr>
      <w:hyperlink r:id="rId168" w:tooltip="Show Display Options" w:history="1">
        <w:r w:rsidRPr="00285196">
          <w:rPr>
            <w:rFonts w:ascii="Arial" w:eastAsia="Times New Roman" w:hAnsi="Arial" w:cs="Arial"/>
            <w:b/>
            <w:bCs/>
            <w:color w:val="1A3D85"/>
            <w:sz w:val="21"/>
            <w:szCs w:val="21"/>
            <w:u w:val="single"/>
            <w:lang w:eastAsia="tr-TR"/>
          </w:rPr>
          <w:t>Show Display Options</w:t>
        </w:r>
      </w:hyperlink>
    </w:p>
    <w:p w:rsidR="00285196" w:rsidRPr="00285196" w:rsidRDefault="00285196" w:rsidP="00285196">
      <w:pPr>
        <w:spacing w:after="0" w:line="336" w:lineRule="atLeast"/>
        <w:rPr>
          <w:rFonts w:ascii="Arial" w:eastAsia="Times New Roman" w:hAnsi="Arial" w:cs="Arial"/>
          <w:color w:val="000000"/>
          <w:sz w:val="21"/>
          <w:szCs w:val="21"/>
          <w:lang w:eastAsia="tr-TR"/>
        </w:rPr>
      </w:pPr>
      <w:hyperlink r:id="rId169" w:history="1">
        <w:r w:rsidRPr="00285196">
          <w:rPr>
            <w:rFonts w:ascii="Arial" w:eastAsia="Times New Roman" w:hAnsi="Arial" w:cs="Arial"/>
            <w:color w:val="1A3D85"/>
            <w:sz w:val="21"/>
            <w:szCs w:val="21"/>
            <w:u w:val="single"/>
            <w:lang w:eastAsia="tr-TR"/>
          </w:rPr>
          <w:t>Subscribe to RSS</w:t>
        </w:r>
      </w:hyperlink>
    </w:p>
    <w:p w:rsidR="00285196" w:rsidRPr="00285196" w:rsidRDefault="00285196" w:rsidP="00285196">
      <w:pPr>
        <w:spacing w:after="0" w:line="336" w:lineRule="atLeast"/>
        <w:rPr>
          <w:rFonts w:ascii="Arial" w:eastAsia="Times New Roman" w:hAnsi="Arial" w:cs="Arial"/>
          <w:color w:val="000000"/>
          <w:sz w:val="21"/>
          <w:szCs w:val="21"/>
          <w:lang w:eastAsia="tr-TR"/>
        </w:rPr>
      </w:pPr>
      <w:hyperlink r:id="rId170" w:history="1">
        <w:r w:rsidRPr="00285196">
          <w:rPr>
            <w:rFonts w:ascii="Arial" w:eastAsia="Times New Roman" w:hAnsi="Arial" w:cs="Arial"/>
            <w:color w:val="1A3D85"/>
            <w:sz w:val="21"/>
            <w:szCs w:val="21"/>
            <w:u w:val="single"/>
            <w:lang w:eastAsia="tr-TR"/>
          </w:rPr>
          <w:t>Download</w:t>
        </w:r>
      </w:hyperlink>
    </w:p>
    <w:p w:rsidR="00285196" w:rsidRPr="00285196" w:rsidRDefault="00285196" w:rsidP="00285196">
      <w:pPr>
        <w:pBdr>
          <w:bottom w:val="single" w:sz="6" w:space="1" w:color="auto"/>
        </w:pBdr>
        <w:spacing w:after="0" w:line="240" w:lineRule="auto"/>
        <w:jc w:val="center"/>
        <w:rPr>
          <w:rFonts w:ascii="Arial" w:eastAsia="Times New Roman" w:hAnsi="Arial" w:cs="Arial"/>
          <w:vanish/>
          <w:sz w:val="16"/>
          <w:szCs w:val="16"/>
          <w:lang w:eastAsia="tr-TR"/>
        </w:rPr>
      </w:pPr>
      <w:r w:rsidRPr="00285196">
        <w:rPr>
          <w:rFonts w:ascii="Arial" w:eastAsia="Times New Roman" w:hAnsi="Arial" w:cs="Arial"/>
          <w:vanish/>
          <w:sz w:val="16"/>
          <w:szCs w:val="16"/>
          <w:lang w:eastAsia="tr-TR"/>
        </w:rPr>
        <w:t>Formun Üstü</w:t>
      </w:r>
    </w:p>
    <w:p w:rsidR="00285196" w:rsidRPr="00285196" w:rsidRDefault="00285196" w:rsidP="00285196">
      <w:pPr>
        <w:spacing w:after="0" w:line="336" w:lineRule="atLeast"/>
        <w:rPr>
          <w:rFonts w:ascii="Arial" w:eastAsia="Times New Roman" w:hAnsi="Arial" w:cs="Arial"/>
          <w:color w:val="000000"/>
          <w:sz w:val="21"/>
          <w:szCs w:val="21"/>
          <w:lang w:eastAsia="tr-TR"/>
        </w:rPr>
      </w:pPr>
      <w:r w:rsidRPr="00285196">
        <w:rPr>
          <w:rFonts w:ascii="Arial" w:eastAsia="Times New Roman" w:hAnsi="Arial" w:cs="Arial"/>
          <w:color w:val="000000"/>
          <w:sz w:val="21"/>
          <w:szCs w:val="21"/>
          <w:lang w:eastAsia="tr-TR"/>
        </w:rPr>
        <w:object w:dxaOrig="225" w:dyaOrig="225">
          <v:shape id="_x0000_i1063" type="#_x0000_t75" style="width:20.25pt;height:18pt" o:ole="">
            <v:imagedata r:id="rId171" o:title=""/>
          </v:shape>
          <w:control r:id="rId172" w:name="DefaultOcxName2" w:shapeid="_x0000_i1063"/>
        </w:object>
      </w:r>
      <w:r w:rsidRPr="00285196">
        <w:rPr>
          <w:rFonts w:ascii="Arial" w:eastAsia="Times New Roman" w:hAnsi="Arial" w:cs="Arial"/>
          <w:color w:val="000000"/>
          <w:sz w:val="21"/>
          <w:szCs w:val="21"/>
          <w:lang w:eastAsia="tr-TR"/>
        </w:rPr>
        <w:t> Only show </w:t>
      </w:r>
      <w:hyperlink r:id="rId173" w:tooltip="Open studies definition - opens new window" w:history="1">
        <w:r w:rsidRPr="00285196">
          <w:rPr>
            <w:rFonts w:ascii="Arial" w:eastAsia="Times New Roman" w:hAnsi="Arial" w:cs="Arial"/>
            <w:color w:val="1A3D85"/>
            <w:sz w:val="21"/>
            <w:szCs w:val="21"/>
            <w:u w:val="single"/>
            <w:lang w:eastAsia="tr-TR"/>
          </w:rPr>
          <w:t>open studies</w:t>
        </w:r>
      </w:hyperlink>
    </w:p>
    <w:p w:rsidR="00285196" w:rsidRPr="00285196" w:rsidRDefault="00285196" w:rsidP="00285196">
      <w:pPr>
        <w:pBdr>
          <w:top w:val="single" w:sz="6" w:space="1" w:color="auto"/>
        </w:pBdr>
        <w:spacing w:after="0" w:line="240" w:lineRule="auto"/>
        <w:jc w:val="center"/>
        <w:rPr>
          <w:rFonts w:ascii="Arial" w:eastAsia="Times New Roman" w:hAnsi="Arial" w:cs="Arial"/>
          <w:vanish/>
          <w:sz w:val="16"/>
          <w:szCs w:val="16"/>
          <w:lang w:eastAsia="tr-TR"/>
        </w:rPr>
      </w:pPr>
      <w:r w:rsidRPr="00285196">
        <w:rPr>
          <w:rFonts w:ascii="Arial" w:eastAsia="Times New Roman" w:hAnsi="Arial" w:cs="Arial"/>
          <w:vanish/>
          <w:sz w:val="16"/>
          <w:szCs w:val="16"/>
          <w:lang w:eastAsia="tr-TR"/>
        </w:rPr>
        <w:t>Formun Altı</w:t>
      </w:r>
    </w:p>
    <w:tbl>
      <w:tblPr>
        <w:tblW w:w="14010" w:type="dxa"/>
        <w:tblCellSpacing w:w="15" w:type="dxa"/>
        <w:tblCellMar>
          <w:left w:w="0" w:type="dxa"/>
          <w:right w:w="0" w:type="dxa"/>
        </w:tblCellMar>
        <w:tblLook w:val="04A0" w:firstRow="1" w:lastRow="0" w:firstColumn="1" w:lastColumn="0" w:noHBand="0" w:noVBand="1"/>
      </w:tblPr>
      <w:tblGrid>
        <w:gridCol w:w="739"/>
        <w:gridCol w:w="1723"/>
        <w:gridCol w:w="11548"/>
      </w:tblGrid>
      <w:tr w:rsidR="00285196" w:rsidRPr="00285196" w:rsidTr="00285196">
        <w:trPr>
          <w:tblCellSpacing w:w="15" w:type="dxa"/>
        </w:trPr>
        <w:tc>
          <w:tcPr>
            <w:tcW w:w="0" w:type="auto"/>
            <w:tcBorders>
              <w:bottom w:val="single" w:sz="6" w:space="0" w:color="CCCCCC"/>
            </w:tcBorders>
            <w:shd w:val="clear" w:color="auto" w:fill="EEEEEE"/>
            <w:tcMar>
              <w:top w:w="90" w:type="dxa"/>
              <w:left w:w="90" w:type="dxa"/>
              <w:bottom w:w="90" w:type="dxa"/>
              <w:right w:w="90" w:type="dxa"/>
            </w:tcMar>
            <w:vAlign w:val="cente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Rank</w:t>
            </w:r>
          </w:p>
        </w:tc>
        <w:tc>
          <w:tcPr>
            <w:tcW w:w="0" w:type="auto"/>
            <w:tcBorders>
              <w:bottom w:val="single" w:sz="6" w:space="0" w:color="CCCCCC"/>
            </w:tcBorders>
            <w:shd w:val="clear" w:color="auto" w:fill="EEEEEE"/>
            <w:tcMar>
              <w:top w:w="90" w:type="dxa"/>
              <w:left w:w="90" w:type="dxa"/>
              <w:bottom w:w="90" w:type="dxa"/>
              <w:right w:w="90" w:type="dxa"/>
            </w:tcMar>
            <w:vAlign w:val="cente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Status</w:t>
            </w:r>
          </w:p>
        </w:tc>
        <w:tc>
          <w:tcPr>
            <w:tcW w:w="0" w:type="auto"/>
            <w:tcBorders>
              <w:bottom w:val="single" w:sz="6" w:space="0" w:color="CCCCCC"/>
            </w:tcBorders>
            <w:shd w:val="clear" w:color="auto" w:fill="EEEEEE"/>
            <w:tcMar>
              <w:top w:w="90" w:type="dxa"/>
              <w:left w:w="240" w:type="dxa"/>
              <w:bottom w:w="90" w:type="dxa"/>
              <w:right w:w="90" w:type="dxa"/>
            </w:tcMar>
            <w:vAlign w:val="center"/>
            <w:hideMark/>
          </w:tcPr>
          <w:p w:rsidR="00285196" w:rsidRPr="00285196" w:rsidRDefault="00285196" w:rsidP="00285196">
            <w:pPr>
              <w:spacing w:after="0" w:line="336" w:lineRule="atLeas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Study</w:t>
            </w: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1</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FF0000"/>
                <w:sz w:val="21"/>
                <w:szCs w:val="21"/>
                <w:lang w:eastAsia="tr-TR"/>
              </w:rPr>
              <w:t>Active, not recruiting</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74" w:tooltip="Show study NCT01277484: Dose Finding Study of Post-BMT Decitabine Maintenance Treatment in Higher-risk MDS and MDS/AML" w:history="1">
              <w:r w:rsidRPr="00285196">
                <w:rPr>
                  <w:rFonts w:ascii="Arial" w:eastAsia="Times New Roman" w:hAnsi="Arial" w:cs="Arial"/>
                  <w:b/>
                  <w:bCs/>
                  <w:color w:val="1A3D85"/>
                  <w:sz w:val="21"/>
                  <w:szCs w:val="21"/>
                  <w:u w:val="single"/>
                  <w:lang w:eastAsia="tr-TR"/>
                </w:rPr>
                <w:t>Dose Finding Study of Post-BMT Decitabine Maintenance Treatment in Higher-risk MDS and MDS/AML</w:t>
              </w:r>
            </w:hyperlink>
          </w:p>
          <w:tbl>
            <w:tblPr>
              <w:tblW w:w="0" w:type="auto"/>
              <w:tblCellSpacing w:w="15" w:type="dxa"/>
              <w:tblCellMar>
                <w:left w:w="0" w:type="dxa"/>
                <w:right w:w="0" w:type="dxa"/>
              </w:tblCellMar>
              <w:tblLook w:val="04A0" w:firstRow="1" w:lastRow="0" w:firstColumn="1" w:lastColumn="0" w:noHBand="0" w:noVBand="1"/>
            </w:tblPr>
            <w:tblGrid>
              <w:gridCol w:w="2925"/>
              <w:gridCol w:w="5334"/>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Conditions:</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Myelodysplastic Syndrome;   Acute Myeloid Leukemia</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2</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008000"/>
                <w:sz w:val="21"/>
                <w:szCs w:val="21"/>
                <w:lang w:eastAsia="tr-TR"/>
              </w:rPr>
              <w:t>Recruiting</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75" w:tooltip="Show study NCT02316028: Phase I:Decitabine by Hepatic Arterial Infusion(HAI) in Unresectable Liver Metastases Colorectal Cancer (CRC)" w:history="1">
              <w:r w:rsidRPr="00285196">
                <w:rPr>
                  <w:rFonts w:ascii="Arial" w:eastAsia="Times New Roman" w:hAnsi="Arial" w:cs="Arial"/>
                  <w:b/>
                  <w:bCs/>
                  <w:color w:val="1A3D85"/>
                  <w:sz w:val="21"/>
                  <w:szCs w:val="21"/>
                  <w:u w:val="single"/>
                  <w:lang w:eastAsia="tr-TR"/>
                </w:rPr>
                <w:t>Phase I:Decitabine by Hepatic Arterial Infusion(HAI) in Unresectable Liver Metastases Colorectal Cancer (CRC)</w:t>
              </w:r>
            </w:hyperlink>
          </w:p>
          <w:tbl>
            <w:tblPr>
              <w:tblW w:w="0" w:type="auto"/>
              <w:tblCellSpacing w:w="15" w:type="dxa"/>
              <w:tblCellMar>
                <w:left w:w="0" w:type="dxa"/>
                <w:right w:w="0" w:type="dxa"/>
              </w:tblCellMar>
              <w:tblLook w:val="04A0" w:firstRow="1" w:lastRow="0" w:firstColumn="1" w:lastColumn="0" w:noHBand="0" w:noVBand="1"/>
            </w:tblPr>
            <w:tblGrid>
              <w:gridCol w:w="2925"/>
              <w:gridCol w:w="3747"/>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Conditions:</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Liver Metastasis;   Colorectal Cancer</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3</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FF0000"/>
                <w:sz w:val="21"/>
                <w:szCs w:val="21"/>
                <w:lang w:eastAsia="tr-TR"/>
              </w:rPr>
              <w:t>Active, not recruiting</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76" w:tooltip="Show study NCT01251627: Multicenter Study to Assess the Efficacy of Decitabine in the Treatment of Chronic Myelomonocytic Leukemia" w:history="1">
              <w:r w:rsidRPr="00285196">
                <w:rPr>
                  <w:rFonts w:ascii="Arial" w:eastAsia="Times New Roman" w:hAnsi="Arial" w:cs="Arial"/>
                  <w:b/>
                  <w:bCs/>
                  <w:color w:val="1A3D85"/>
                  <w:sz w:val="21"/>
                  <w:szCs w:val="21"/>
                  <w:u w:val="single"/>
                  <w:lang w:eastAsia="tr-TR"/>
                </w:rPr>
                <w:t>Multicenter Study to Assess the Efficacy of Decitabine in the Treatment of Chronic Myelomonocytic Leukemia</w:t>
              </w:r>
            </w:hyperlink>
          </w:p>
          <w:tbl>
            <w:tblPr>
              <w:tblW w:w="0" w:type="auto"/>
              <w:tblCellSpacing w:w="15" w:type="dxa"/>
              <w:tblCellMar>
                <w:left w:w="0" w:type="dxa"/>
                <w:right w:w="0" w:type="dxa"/>
              </w:tblCellMar>
              <w:tblLook w:val="04A0" w:firstRow="1" w:lastRow="0" w:firstColumn="1" w:lastColumn="0" w:noHBand="0" w:noVBand="1"/>
            </w:tblPr>
            <w:tblGrid>
              <w:gridCol w:w="2925"/>
              <w:gridCol w:w="3572"/>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Chronic Myelomonocytic Leukemia</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4</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FF0000"/>
                <w:sz w:val="21"/>
                <w:szCs w:val="21"/>
                <w:lang w:eastAsia="tr-TR"/>
              </w:rPr>
              <w:t>Active, not recruiting</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77" w:tooltip="Show study NCT01633099: Therapeutic Effect and Safety Study of Decitabine in Elderly Acute Myeloid Leukemia Patients" w:history="1">
              <w:r w:rsidRPr="00285196">
                <w:rPr>
                  <w:rFonts w:ascii="Arial" w:eastAsia="Times New Roman" w:hAnsi="Arial" w:cs="Arial"/>
                  <w:b/>
                  <w:bCs/>
                  <w:color w:val="1A3D85"/>
                  <w:sz w:val="21"/>
                  <w:szCs w:val="21"/>
                  <w:u w:val="single"/>
                  <w:lang w:eastAsia="tr-TR"/>
                </w:rPr>
                <w:t>Therapeutic Effect and Safety Study of Decitabine in Elderly Acute Myeloid Leukemia Patients</w:t>
              </w:r>
            </w:hyperlink>
          </w:p>
          <w:tbl>
            <w:tblPr>
              <w:tblW w:w="0" w:type="auto"/>
              <w:tblCellSpacing w:w="15" w:type="dxa"/>
              <w:tblCellMar>
                <w:left w:w="0" w:type="dxa"/>
                <w:right w:w="0" w:type="dxa"/>
              </w:tblCellMar>
              <w:tblLook w:val="04A0" w:firstRow="1" w:lastRow="0" w:firstColumn="1" w:lastColumn="0" w:noHBand="0" w:noVBand="1"/>
            </w:tblPr>
            <w:tblGrid>
              <w:gridCol w:w="2925"/>
              <w:gridCol w:w="7085"/>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Conditions:</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Untreated Adult Acute Myeloid Leukemia;   Effect of Drugs;   Drug Safety</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5</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008000"/>
                <w:sz w:val="21"/>
                <w:szCs w:val="21"/>
                <w:lang w:eastAsia="tr-TR"/>
              </w:rPr>
              <w:t>Recruiting</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78" w:tooltip="Show study NCT01568333: A Multi-center Study of Low-dose Decitabine for the Treatment of Immune Thrombocytopenia" w:history="1">
              <w:r w:rsidRPr="00285196">
                <w:rPr>
                  <w:rFonts w:ascii="Arial" w:eastAsia="Times New Roman" w:hAnsi="Arial" w:cs="Arial"/>
                  <w:b/>
                  <w:bCs/>
                  <w:color w:val="1A3D85"/>
                  <w:sz w:val="21"/>
                  <w:szCs w:val="21"/>
                  <w:u w:val="single"/>
                  <w:lang w:eastAsia="tr-TR"/>
                </w:rPr>
                <w:t>A Multi-center Study of Low-dose Decitabine for the Treatment of Immune Thrombocytopenia</w:t>
              </w:r>
            </w:hyperlink>
          </w:p>
          <w:tbl>
            <w:tblPr>
              <w:tblW w:w="0" w:type="auto"/>
              <w:tblCellSpacing w:w="15" w:type="dxa"/>
              <w:tblCellMar>
                <w:left w:w="0" w:type="dxa"/>
                <w:right w:w="0" w:type="dxa"/>
              </w:tblCellMar>
              <w:tblLook w:val="04A0" w:firstRow="1" w:lastRow="0" w:firstColumn="1" w:lastColumn="0" w:noHBand="0" w:noVBand="1"/>
            </w:tblPr>
            <w:tblGrid>
              <w:gridCol w:w="2925"/>
              <w:gridCol w:w="2872"/>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Immune Thrombocytopenia</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6</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FF0000"/>
                <w:sz w:val="21"/>
                <w:szCs w:val="21"/>
                <w:lang w:eastAsia="tr-TR"/>
              </w:rPr>
              <w:t>Completed</w:t>
            </w:r>
            <w:r w:rsidRPr="00285196">
              <w:rPr>
                <w:rFonts w:ascii="Arial" w:eastAsia="Times New Roman" w:hAnsi="Arial" w:cs="Arial"/>
                <w:b/>
                <w:bCs/>
                <w:sz w:val="21"/>
                <w:szCs w:val="21"/>
                <w:lang w:eastAsia="tr-TR"/>
              </w:rPr>
              <w:t> </w:t>
            </w:r>
            <w:r w:rsidRPr="00285196">
              <w:rPr>
                <w:rFonts w:ascii="Arial" w:eastAsia="Times New Roman" w:hAnsi="Arial" w:cs="Arial"/>
                <w:b/>
                <w:bCs/>
                <w:sz w:val="21"/>
                <w:szCs w:val="21"/>
                <w:lang w:eastAsia="tr-TR"/>
              </w:rPr>
              <w:br/>
            </w:r>
            <w:r w:rsidRPr="00285196">
              <w:rPr>
                <w:rFonts w:ascii="Arial" w:eastAsia="Times New Roman" w:hAnsi="Arial" w:cs="Arial"/>
                <w:b/>
                <w:bCs/>
                <w:color w:val="0099CC"/>
                <w:sz w:val="21"/>
                <w:szCs w:val="21"/>
                <w:lang w:eastAsia="tr-TR"/>
              </w:rPr>
              <w:t>Has Results</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79" w:tooltip="Show study NCT00744757: An Efficacy and Safety Study of Decitabine in Participants With Myelodysplastic Syndrome (MDS)" w:history="1">
              <w:r w:rsidRPr="00285196">
                <w:rPr>
                  <w:rFonts w:ascii="Arial" w:eastAsia="Times New Roman" w:hAnsi="Arial" w:cs="Arial"/>
                  <w:b/>
                  <w:bCs/>
                  <w:color w:val="1A3D85"/>
                  <w:sz w:val="21"/>
                  <w:szCs w:val="21"/>
                  <w:u w:val="single"/>
                  <w:lang w:eastAsia="tr-TR"/>
                </w:rPr>
                <w:t>An Efficacy and Safety Study of Decitabine in Participants With Myelodysplastic Syndrome (MDS)</w:t>
              </w:r>
            </w:hyperlink>
          </w:p>
          <w:tbl>
            <w:tblPr>
              <w:tblW w:w="0" w:type="auto"/>
              <w:tblCellSpacing w:w="15" w:type="dxa"/>
              <w:tblCellMar>
                <w:left w:w="0" w:type="dxa"/>
                <w:right w:w="0" w:type="dxa"/>
              </w:tblCellMar>
              <w:tblLook w:val="04A0" w:firstRow="1" w:lastRow="0" w:firstColumn="1" w:lastColumn="0" w:noHBand="0" w:noVBand="1"/>
            </w:tblPr>
            <w:tblGrid>
              <w:gridCol w:w="2925"/>
              <w:gridCol w:w="2813"/>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Myelodysplastic Syndrome</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7</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008000"/>
                <w:sz w:val="21"/>
                <w:szCs w:val="21"/>
                <w:lang w:eastAsia="tr-TR"/>
              </w:rPr>
              <w:t>Recruiting</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80" w:tooltip="Show study NCT02252107: 10-day Decitabine, Fludarabine and 2 Gray TBI as Conditioning Strategy for Poor and Very Poor Risk AML in CR1" w:history="1">
              <w:r w:rsidRPr="00285196">
                <w:rPr>
                  <w:rFonts w:ascii="Arial" w:eastAsia="Times New Roman" w:hAnsi="Arial" w:cs="Arial"/>
                  <w:b/>
                  <w:bCs/>
                  <w:color w:val="1A3D85"/>
                  <w:sz w:val="21"/>
                  <w:szCs w:val="21"/>
                  <w:u w:val="single"/>
                  <w:lang w:eastAsia="tr-TR"/>
                </w:rPr>
                <w:t>10-day Decitabine, Fludarabine and 2 Gray TBI as Conditioning Strategy for Poor and Very Poor Risk AML in CR1</w:t>
              </w:r>
            </w:hyperlink>
          </w:p>
          <w:tbl>
            <w:tblPr>
              <w:tblW w:w="0" w:type="auto"/>
              <w:tblCellSpacing w:w="15" w:type="dxa"/>
              <w:tblCellMar>
                <w:left w:w="0" w:type="dxa"/>
                <w:right w:w="0" w:type="dxa"/>
              </w:tblCellMar>
              <w:tblLook w:val="04A0" w:firstRow="1" w:lastRow="0" w:firstColumn="1" w:lastColumn="0" w:noHBand="0" w:noVBand="1"/>
            </w:tblPr>
            <w:tblGrid>
              <w:gridCol w:w="2925"/>
              <w:gridCol w:w="3233"/>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Acute Myeloid Leukemia (AML)</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8</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008000"/>
                <w:sz w:val="21"/>
                <w:szCs w:val="21"/>
                <w:lang w:eastAsia="tr-TR"/>
              </w:rPr>
              <w:t>Recruiting</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81" w:tooltip="Show study NCT02257138: Study of Ruxolitinib Plus Decitabine in Patients With Acute Myeloid Leukemia (AML)" w:history="1">
              <w:r w:rsidRPr="00285196">
                <w:rPr>
                  <w:rFonts w:ascii="Arial" w:eastAsia="Times New Roman" w:hAnsi="Arial" w:cs="Arial"/>
                  <w:b/>
                  <w:bCs/>
                  <w:color w:val="1A3D85"/>
                  <w:sz w:val="21"/>
                  <w:szCs w:val="21"/>
                  <w:u w:val="single"/>
                  <w:lang w:eastAsia="tr-TR"/>
                </w:rPr>
                <w:t>Study of Ruxolitinib Plus Decitabine in Patients With Acute Myeloid Leukemia (AML)</w:t>
              </w:r>
            </w:hyperlink>
          </w:p>
          <w:tbl>
            <w:tblPr>
              <w:tblW w:w="0" w:type="auto"/>
              <w:tblCellSpacing w:w="15" w:type="dxa"/>
              <w:tblCellMar>
                <w:left w:w="0" w:type="dxa"/>
                <w:right w:w="0" w:type="dxa"/>
              </w:tblCellMar>
              <w:tblLook w:val="04A0" w:firstRow="1" w:lastRow="0" w:firstColumn="1" w:lastColumn="0" w:noHBand="0" w:noVBand="1"/>
            </w:tblPr>
            <w:tblGrid>
              <w:gridCol w:w="2925"/>
              <w:gridCol w:w="4027"/>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Conditions:</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Leukemia;   Myeloproliferative Diseases</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Interventions:</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Ruxolitinib;   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9</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FF0000"/>
                <w:sz w:val="21"/>
                <w:szCs w:val="21"/>
                <w:lang w:eastAsia="tr-TR"/>
              </w:rPr>
              <w:t>Completed</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82" w:tooltip="Show study NCT00349596: A Study of Low-Dose Decitabine in Relapsed or Refractory Acute Lymphocytic Leukemia (ALL)" w:history="1">
              <w:r w:rsidRPr="00285196">
                <w:rPr>
                  <w:rFonts w:ascii="Arial" w:eastAsia="Times New Roman" w:hAnsi="Arial" w:cs="Arial"/>
                  <w:b/>
                  <w:bCs/>
                  <w:color w:val="1A3D85"/>
                  <w:sz w:val="21"/>
                  <w:szCs w:val="21"/>
                  <w:u w:val="single"/>
                  <w:lang w:eastAsia="tr-TR"/>
                </w:rPr>
                <w:t>A Study of Low-Dose Decitabine in Relapsed or Refractory Acute Lymphocytic Leukemia (ALL)</w:t>
              </w:r>
            </w:hyperlink>
          </w:p>
          <w:tbl>
            <w:tblPr>
              <w:tblW w:w="0" w:type="auto"/>
              <w:tblCellSpacing w:w="15" w:type="dxa"/>
              <w:tblCellMar>
                <w:left w:w="0" w:type="dxa"/>
                <w:right w:w="0" w:type="dxa"/>
              </w:tblCellMar>
              <w:tblLook w:val="04A0" w:firstRow="1" w:lastRow="0" w:firstColumn="1" w:lastColumn="0" w:noHBand="0" w:noVBand="1"/>
            </w:tblPr>
            <w:tblGrid>
              <w:gridCol w:w="2925"/>
              <w:gridCol w:w="3047"/>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Acute Lymphocytic Leukemia</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10</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FF0000"/>
                <w:sz w:val="21"/>
                <w:szCs w:val="21"/>
                <w:lang w:eastAsia="tr-TR"/>
              </w:rPr>
              <w:t>Active, not recruiting</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83" w:tooltip="Show study NCT02141477: Omacetaxine and Decitabine in Acute Myelogenous Leukemia (AML) and Myelodysplastic Syndrome (MDS)" w:history="1">
              <w:r w:rsidRPr="00285196">
                <w:rPr>
                  <w:rFonts w:ascii="Arial" w:eastAsia="Times New Roman" w:hAnsi="Arial" w:cs="Arial"/>
                  <w:b/>
                  <w:bCs/>
                  <w:color w:val="1A3D85"/>
                  <w:sz w:val="21"/>
                  <w:szCs w:val="21"/>
                  <w:u w:val="single"/>
                  <w:lang w:eastAsia="tr-TR"/>
                </w:rPr>
                <w:t>Omacetaxine and Decitabine in Acute Myelogenous Leukemia (AML) and Myelodysplastic Syndrome (MDS)</w:t>
              </w:r>
            </w:hyperlink>
          </w:p>
          <w:tbl>
            <w:tblPr>
              <w:tblW w:w="0" w:type="auto"/>
              <w:tblCellSpacing w:w="15" w:type="dxa"/>
              <w:tblCellMar>
                <w:left w:w="0" w:type="dxa"/>
                <w:right w:w="0" w:type="dxa"/>
              </w:tblCellMar>
              <w:tblLook w:val="04A0" w:firstRow="1" w:lastRow="0" w:firstColumn="1" w:lastColumn="0" w:noHBand="0" w:noVBand="1"/>
            </w:tblPr>
            <w:tblGrid>
              <w:gridCol w:w="2925"/>
              <w:gridCol w:w="3922"/>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Leukemia</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Interventions:</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Omacetaxine;   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11</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FF0000"/>
                <w:sz w:val="21"/>
                <w:szCs w:val="21"/>
                <w:lang w:eastAsia="tr-TR"/>
              </w:rPr>
              <w:t>Completed</w:t>
            </w:r>
            <w:r w:rsidRPr="00285196">
              <w:rPr>
                <w:rFonts w:ascii="Arial" w:eastAsia="Times New Roman" w:hAnsi="Arial" w:cs="Arial"/>
                <w:b/>
                <w:bCs/>
                <w:sz w:val="21"/>
                <w:szCs w:val="21"/>
                <w:lang w:eastAsia="tr-TR"/>
              </w:rPr>
              <w:t> </w:t>
            </w:r>
            <w:r w:rsidRPr="00285196">
              <w:rPr>
                <w:rFonts w:ascii="Arial" w:eastAsia="Times New Roman" w:hAnsi="Arial" w:cs="Arial"/>
                <w:b/>
                <w:bCs/>
                <w:sz w:val="21"/>
                <w:szCs w:val="21"/>
                <w:lang w:eastAsia="tr-TR"/>
              </w:rPr>
              <w:br/>
            </w:r>
            <w:r w:rsidRPr="00285196">
              <w:rPr>
                <w:rFonts w:ascii="Arial" w:eastAsia="Times New Roman" w:hAnsi="Arial" w:cs="Arial"/>
                <w:b/>
                <w:bCs/>
                <w:color w:val="0099CC"/>
                <w:sz w:val="21"/>
                <w:szCs w:val="21"/>
                <w:lang w:eastAsia="tr-TR"/>
              </w:rPr>
              <w:t>Has Results</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84" w:tooltip="Show study NCT00477386: Trial of Decitabine as a Sensitizer to Carboplatin in Platinum Resistant Recurrent Ovarian Cancer" w:history="1">
              <w:r w:rsidRPr="00285196">
                <w:rPr>
                  <w:rFonts w:ascii="Arial" w:eastAsia="Times New Roman" w:hAnsi="Arial" w:cs="Arial"/>
                  <w:b/>
                  <w:bCs/>
                  <w:color w:val="1A3D85"/>
                  <w:sz w:val="21"/>
                  <w:szCs w:val="21"/>
                  <w:u w:val="single"/>
                  <w:lang w:eastAsia="tr-TR"/>
                </w:rPr>
                <w:t>Trial of Decitabine as a Sensitizer to Carboplatin in Platinum Resistant Recurrent Ovarian Cancer</w:t>
              </w:r>
            </w:hyperlink>
          </w:p>
          <w:tbl>
            <w:tblPr>
              <w:tblW w:w="0" w:type="auto"/>
              <w:tblCellSpacing w:w="15" w:type="dxa"/>
              <w:tblCellMar>
                <w:left w:w="0" w:type="dxa"/>
                <w:right w:w="0" w:type="dxa"/>
              </w:tblCellMar>
              <w:tblLook w:val="04A0" w:firstRow="1" w:lastRow="0" w:firstColumn="1" w:lastColumn="0" w:noHBand="0" w:noVBand="1"/>
            </w:tblPr>
            <w:tblGrid>
              <w:gridCol w:w="2925"/>
              <w:gridCol w:w="1845"/>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Ovarian Cancer</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12</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FF0000"/>
                <w:sz w:val="21"/>
                <w:szCs w:val="21"/>
                <w:lang w:eastAsia="tr-TR"/>
              </w:rPr>
              <w:t>Completed</w:t>
            </w:r>
            <w:r w:rsidRPr="00285196">
              <w:rPr>
                <w:rFonts w:ascii="Arial" w:eastAsia="Times New Roman" w:hAnsi="Arial" w:cs="Arial"/>
                <w:b/>
                <w:bCs/>
                <w:sz w:val="21"/>
                <w:szCs w:val="21"/>
                <w:lang w:eastAsia="tr-TR"/>
              </w:rPr>
              <w:t> </w:t>
            </w:r>
            <w:r w:rsidRPr="00285196">
              <w:rPr>
                <w:rFonts w:ascii="Arial" w:eastAsia="Times New Roman" w:hAnsi="Arial" w:cs="Arial"/>
                <w:b/>
                <w:bCs/>
                <w:sz w:val="21"/>
                <w:szCs w:val="21"/>
                <w:lang w:eastAsia="tr-TR"/>
              </w:rPr>
              <w:br/>
            </w:r>
            <w:r w:rsidRPr="00285196">
              <w:rPr>
                <w:rFonts w:ascii="Arial" w:eastAsia="Times New Roman" w:hAnsi="Arial" w:cs="Arial"/>
                <w:b/>
                <w:bCs/>
                <w:color w:val="0099CC"/>
                <w:sz w:val="21"/>
                <w:szCs w:val="21"/>
                <w:lang w:eastAsia="tr-TR"/>
              </w:rPr>
              <w:t>Has Results</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85" w:tooltip="Show study NCT00414310: Decitabine (DAC) w/ or w/o Valproic Acid (VPA) in Myelodysplastic Syndrome (MDS) and Acute Myelogenous Leukemia (AML)" w:history="1">
              <w:r w:rsidRPr="00285196">
                <w:rPr>
                  <w:rFonts w:ascii="Arial" w:eastAsia="Times New Roman" w:hAnsi="Arial" w:cs="Arial"/>
                  <w:b/>
                  <w:bCs/>
                  <w:color w:val="1A3D85"/>
                  <w:sz w:val="21"/>
                  <w:szCs w:val="21"/>
                  <w:u w:val="single"/>
                  <w:lang w:eastAsia="tr-TR"/>
                </w:rPr>
                <w:t>Decitabine (DAC) w/ or w/o Valproic Acid (VPA) in Myelodysplastic Syndrome (MDS) and Acute Myelogenous Leukemia (AML)</w:t>
              </w:r>
            </w:hyperlink>
          </w:p>
          <w:tbl>
            <w:tblPr>
              <w:tblW w:w="0" w:type="auto"/>
              <w:tblCellSpacing w:w="15" w:type="dxa"/>
              <w:tblCellMar>
                <w:left w:w="0" w:type="dxa"/>
                <w:right w:w="0" w:type="dxa"/>
              </w:tblCellMar>
              <w:tblLook w:val="04A0" w:firstRow="1" w:lastRow="0" w:firstColumn="1" w:lastColumn="0" w:noHBand="0" w:noVBand="1"/>
            </w:tblPr>
            <w:tblGrid>
              <w:gridCol w:w="2925"/>
              <w:gridCol w:w="5860"/>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Conditions:</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Myelodysplastic Syndrome;   Acute Myelogenous Leukemia</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Interventions:</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   Drug: Valproic Acid</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13</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FF0000"/>
                <w:sz w:val="21"/>
                <w:szCs w:val="21"/>
                <w:lang w:eastAsia="tr-TR"/>
              </w:rPr>
              <w:t>Completed</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86" w:tooltip="Show study NCT00866073: Study of Low-Dose Intravenous Decitabine in Patients Aged &gt; 60 Years With Acute Myeloid Leukemia" w:history="1">
              <w:r w:rsidRPr="00285196">
                <w:rPr>
                  <w:rFonts w:ascii="Arial" w:eastAsia="Times New Roman" w:hAnsi="Arial" w:cs="Arial"/>
                  <w:b/>
                  <w:bCs/>
                  <w:color w:val="1A3D85"/>
                  <w:sz w:val="21"/>
                  <w:szCs w:val="21"/>
                  <w:u w:val="single"/>
                  <w:lang w:eastAsia="tr-TR"/>
                </w:rPr>
                <w:t>Study of Low-Dose Intravenous Decitabine in Patients Aged &gt; 60 Years With Acute Myeloid Leukemia</w:t>
              </w:r>
            </w:hyperlink>
          </w:p>
          <w:tbl>
            <w:tblPr>
              <w:tblW w:w="0" w:type="auto"/>
              <w:tblCellSpacing w:w="15" w:type="dxa"/>
              <w:tblCellMar>
                <w:left w:w="0" w:type="dxa"/>
                <w:right w:w="0" w:type="dxa"/>
              </w:tblCellMar>
              <w:tblLook w:val="04A0" w:firstRow="1" w:lastRow="0" w:firstColumn="1" w:lastColumn="0" w:noHBand="0" w:noVBand="1"/>
            </w:tblPr>
            <w:tblGrid>
              <w:gridCol w:w="2925"/>
              <w:gridCol w:w="3198"/>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Acute Myeloid Leukemia</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 15 mg/m2 i.v.</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14</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FF0000"/>
                <w:sz w:val="21"/>
                <w:szCs w:val="21"/>
                <w:lang w:eastAsia="tr-TR"/>
              </w:rPr>
              <w:t>Active, not recruiting</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87" w:tooltip="Show study NCT02264873: Phase I, Dose Escalation Study of Decitabine" w:history="1">
              <w:r w:rsidRPr="00285196">
                <w:rPr>
                  <w:rFonts w:ascii="Arial" w:eastAsia="Times New Roman" w:hAnsi="Arial" w:cs="Arial"/>
                  <w:b/>
                  <w:bCs/>
                  <w:color w:val="1A3D85"/>
                  <w:sz w:val="21"/>
                  <w:szCs w:val="21"/>
                  <w:u w:val="single"/>
                  <w:lang w:eastAsia="tr-TR"/>
                </w:rPr>
                <w:t>Phase I, Dose Escalation Study of Decitabine</w:t>
              </w:r>
            </w:hyperlink>
          </w:p>
          <w:tbl>
            <w:tblPr>
              <w:tblW w:w="0" w:type="auto"/>
              <w:tblCellSpacing w:w="15" w:type="dxa"/>
              <w:tblCellMar>
                <w:left w:w="0" w:type="dxa"/>
                <w:right w:w="0" w:type="dxa"/>
              </w:tblCellMar>
              <w:tblLook w:val="04A0" w:firstRow="1" w:lastRow="0" w:firstColumn="1" w:lastColumn="0" w:noHBand="0" w:noVBand="1"/>
            </w:tblPr>
            <w:tblGrid>
              <w:gridCol w:w="2232"/>
              <w:gridCol w:w="8941"/>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Conditions:</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Leukemia, Lymphoblastic, Acute;   Leukemia, Myeloid Acute;   Hematopoetic Myelodysplasia</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15</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FF0000"/>
                <w:sz w:val="21"/>
                <w:szCs w:val="21"/>
                <w:lang w:eastAsia="tr-TR"/>
              </w:rPr>
              <w:t>Active, not recruiting</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88" w:tooltip="Show study NCT01893320: Study of Vosaroxin and Decitabine in Older Patients With Acute Myeloid Leukemia and High-risk Myelodysplastic Syndrome" w:history="1">
              <w:r w:rsidRPr="00285196">
                <w:rPr>
                  <w:rFonts w:ascii="Arial" w:eastAsia="Times New Roman" w:hAnsi="Arial" w:cs="Arial"/>
                  <w:b/>
                  <w:bCs/>
                  <w:color w:val="1A3D85"/>
                  <w:sz w:val="21"/>
                  <w:szCs w:val="21"/>
                  <w:u w:val="single"/>
                  <w:lang w:eastAsia="tr-TR"/>
                </w:rPr>
                <w:t>Study of Vosaroxin and Decitabine in Older Patients With Acute Myeloid Leukemia and High-risk Myelodysplastic Syndrome</w:t>
              </w:r>
            </w:hyperlink>
          </w:p>
          <w:tbl>
            <w:tblPr>
              <w:tblW w:w="0" w:type="auto"/>
              <w:tblCellSpacing w:w="15" w:type="dxa"/>
              <w:tblCellMar>
                <w:left w:w="0" w:type="dxa"/>
                <w:right w:w="0" w:type="dxa"/>
              </w:tblCellMar>
              <w:tblLook w:val="04A0" w:firstRow="1" w:lastRow="0" w:firstColumn="1" w:lastColumn="0" w:noHBand="0" w:noVBand="1"/>
            </w:tblPr>
            <w:tblGrid>
              <w:gridCol w:w="2925"/>
              <w:gridCol w:w="3619"/>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Leukemia</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Interventions:</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Vosaroxin;   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16</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008000"/>
                <w:sz w:val="21"/>
                <w:szCs w:val="21"/>
                <w:lang w:eastAsia="tr-TR"/>
              </w:rPr>
              <w:t>Recruiting</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89" w:tooltip="Show study NCT02499861: Phase I/II a Study of Decitabine in Combination With Genistein in Pediatric Relapsed or Refractory Malignancies" w:history="1">
              <w:r w:rsidRPr="00285196">
                <w:rPr>
                  <w:rFonts w:ascii="Arial" w:eastAsia="Times New Roman" w:hAnsi="Arial" w:cs="Arial"/>
                  <w:b/>
                  <w:bCs/>
                  <w:color w:val="1A3D85"/>
                  <w:sz w:val="21"/>
                  <w:szCs w:val="21"/>
                  <w:u w:val="single"/>
                  <w:lang w:eastAsia="tr-TR"/>
                </w:rPr>
                <w:t>Phase I/II a Study of Decitabine in Combination With Genistein in Pediatric Relapsed or Refractory Malignancies</w:t>
              </w:r>
            </w:hyperlink>
          </w:p>
          <w:tbl>
            <w:tblPr>
              <w:tblW w:w="0" w:type="auto"/>
              <w:tblCellSpacing w:w="15" w:type="dxa"/>
              <w:tblCellMar>
                <w:left w:w="0" w:type="dxa"/>
                <w:right w:w="0" w:type="dxa"/>
              </w:tblCellMar>
              <w:tblLook w:val="04A0" w:firstRow="1" w:lastRow="0" w:firstColumn="1" w:lastColumn="0" w:noHBand="0" w:noVBand="1"/>
            </w:tblPr>
            <w:tblGrid>
              <w:gridCol w:w="2925"/>
              <w:gridCol w:w="3234"/>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Cancer</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 and Genistein</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17</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FF0000"/>
                <w:sz w:val="21"/>
                <w:szCs w:val="21"/>
                <w:lang w:eastAsia="tr-TR"/>
              </w:rPr>
              <w:t>Terminated</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90" w:tooltip="Show study NCT02234037: Physical Conditioning and Decitabine for Newly Diagnosed AML Patients Age ≥ 60" w:history="1">
              <w:r w:rsidRPr="00285196">
                <w:rPr>
                  <w:rFonts w:ascii="Arial" w:eastAsia="Times New Roman" w:hAnsi="Arial" w:cs="Arial"/>
                  <w:b/>
                  <w:bCs/>
                  <w:color w:val="1A3D85"/>
                  <w:sz w:val="21"/>
                  <w:szCs w:val="21"/>
                  <w:u w:val="single"/>
                  <w:lang w:eastAsia="tr-TR"/>
                </w:rPr>
                <w:t>Physical Conditioning and Decitabine for Newly Diagnosed AML Patients Age ≥ 60</w:t>
              </w:r>
            </w:hyperlink>
          </w:p>
          <w:tbl>
            <w:tblPr>
              <w:tblW w:w="0" w:type="auto"/>
              <w:tblCellSpacing w:w="15" w:type="dxa"/>
              <w:tblCellMar>
                <w:left w:w="0" w:type="dxa"/>
                <w:right w:w="0" w:type="dxa"/>
              </w:tblCellMar>
              <w:tblLook w:val="04A0" w:firstRow="1" w:lastRow="0" w:firstColumn="1" w:lastColumn="0" w:noHBand="0" w:noVBand="1"/>
            </w:tblPr>
            <w:tblGrid>
              <w:gridCol w:w="2925"/>
              <w:gridCol w:w="3222"/>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Leukemia</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Other: Decitabine and Exercise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18</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008000"/>
                <w:sz w:val="21"/>
                <w:szCs w:val="21"/>
                <w:lang w:eastAsia="tr-TR"/>
              </w:rPr>
              <w:t>Recruiting</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91" w:tooltip="Show study NCT01687400: Genomic Predictors of Decitabine Response in Patients With Acute Myeloid Leukemia or Myelodysplastic Syndromes" w:history="1">
              <w:r w:rsidRPr="00285196">
                <w:rPr>
                  <w:rFonts w:ascii="Arial" w:eastAsia="Times New Roman" w:hAnsi="Arial" w:cs="Arial"/>
                  <w:b/>
                  <w:bCs/>
                  <w:color w:val="1A3D85"/>
                  <w:sz w:val="21"/>
                  <w:szCs w:val="21"/>
                  <w:u w:val="single"/>
                  <w:lang w:eastAsia="tr-TR"/>
                </w:rPr>
                <w:t>Genomic Predictors of Decitabine Response in Patients With Acute Myeloid Leukemia or Myelodysplastic Syndromes</w:t>
              </w:r>
            </w:hyperlink>
          </w:p>
          <w:tbl>
            <w:tblPr>
              <w:tblW w:w="0" w:type="auto"/>
              <w:tblCellSpacing w:w="15" w:type="dxa"/>
              <w:tblCellMar>
                <w:left w:w="0" w:type="dxa"/>
                <w:right w:w="0" w:type="dxa"/>
              </w:tblCellMar>
              <w:tblLook w:val="04A0" w:firstRow="1" w:lastRow="0" w:firstColumn="1" w:lastColumn="0" w:noHBand="0" w:noVBand="1"/>
            </w:tblPr>
            <w:tblGrid>
              <w:gridCol w:w="2925"/>
              <w:gridCol w:w="5556"/>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Conditions:</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Leukemia, Myeloid, Acute;   Myelodysplastic Syndromes</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19</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008000"/>
                <w:sz w:val="21"/>
                <w:szCs w:val="21"/>
                <w:lang w:eastAsia="tr-TR"/>
              </w:rPr>
              <w:t>Recruiting</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92" w:tooltip="Show study NCT01786343: Decitabine for Older or Unfit Patients With Acute Myeloid Leukemia (AML)" w:history="1">
              <w:r w:rsidRPr="00285196">
                <w:rPr>
                  <w:rFonts w:ascii="Arial" w:eastAsia="Times New Roman" w:hAnsi="Arial" w:cs="Arial"/>
                  <w:b/>
                  <w:bCs/>
                  <w:color w:val="1A3D85"/>
                  <w:sz w:val="21"/>
                  <w:szCs w:val="21"/>
                  <w:u w:val="single"/>
                  <w:lang w:eastAsia="tr-TR"/>
                </w:rPr>
                <w:t>Decitabine for Older or Unfit Patients With Acute Myeloid Leukemia (AML)</w:t>
              </w:r>
            </w:hyperlink>
          </w:p>
          <w:tbl>
            <w:tblPr>
              <w:tblW w:w="0" w:type="auto"/>
              <w:tblCellSpacing w:w="15" w:type="dxa"/>
              <w:tblCellMar>
                <w:left w:w="0" w:type="dxa"/>
                <w:right w:w="0" w:type="dxa"/>
              </w:tblCellMar>
              <w:tblLook w:val="04A0" w:firstRow="1" w:lastRow="0" w:firstColumn="1" w:lastColumn="0" w:noHBand="0" w:noVBand="1"/>
            </w:tblPr>
            <w:tblGrid>
              <w:gridCol w:w="2925"/>
              <w:gridCol w:w="1880"/>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Leukemia</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r w:rsidR="00285196" w:rsidRPr="00285196" w:rsidTr="00285196">
        <w:trPr>
          <w:tblCellSpacing w:w="15" w:type="dxa"/>
        </w:trPr>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20</w:t>
            </w:r>
          </w:p>
        </w:tc>
        <w:tc>
          <w:tcPr>
            <w:tcW w:w="0" w:type="auto"/>
            <w:tcBorders>
              <w:bottom w:val="single" w:sz="6" w:space="0" w:color="CCCCCC"/>
            </w:tcBorders>
            <w:tcMar>
              <w:top w:w="240" w:type="dxa"/>
              <w:left w:w="90" w:type="dxa"/>
              <w:bottom w:w="90" w:type="dxa"/>
              <w:right w:w="90" w:type="dxa"/>
            </w:tcMar>
            <w:hideMark/>
          </w:tcPr>
          <w:p w:rsidR="00285196" w:rsidRPr="00285196" w:rsidRDefault="00285196" w:rsidP="00285196">
            <w:pPr>
              <w:spacing w:after="0" w:line="336" w:lineRule="atLeast"/>
              <w:jc w:val="center"/>
              <w:rPr>
                <w:rFonts w:ascii="Arial" w:eastAsia="Times New Roman" w:hAnsi="Arial" w:cs="Arial"/>
                <w:b/>
                <w:bCs/>
                <w:sz w:val="21"/>
                <w:szCs w:val="21"/>
                <w:lang w:eastAsia="tr-TR"/>
              </w:rPr>
            </w:pPr>
            <w:r w:rsidRPr="00285196">
              <w:rPr>
                <w:rFonts w:ascii="Arial" w:eastAsia="Times New Roman" w:hAnsi="Arial" w:cs="Arial"/>
                <w:b/>
                <w:bCs/>
                <w:color w:val="FF0000"/>
                <w:sz w:val="21"/>
                <w:szCs w:val="21"/>
                <w:lang w:eastAsia="tr-TR"/>
              </w:rPr>
              <w:t>Completed</w:t>
            </w:r>
          </w:p>
        </w:tc>
        <w:tc>
          <w:tcPr>
            <w:tcW w:w="0" w:type="auto"/>
            <w:tcBorders>
              <w:bottom w:val="single" w:sz="6" w:space="0" w:color="CCCCCC"/>
            </w:tcBorders>
            <w:tcMar>
              <w:top w:w="240" w:type="dxa"/>
              <w:left w:w="240" w:type="dxa"/>
              <w:bottom w:w="90" w:type="dxa"/>
              <w:right w:w="90" w:type="dxa"/>
            </w:tcMar>
            <w:hideMark/>
          </w:tcPr>
          <w:p w:rsidR="00285196" w:rsidRPr="00285196" w:rsidRDefault="00285196" w:rsidP="00285196">
            <w:pPr>
              <w:spacing w:after="0" w:line="336" w:lineRule="atLeast"/>
              <w:rPr>
                <w:rFonts w:ascii="Arial" w:eastAsia="Times New Roman" w:hAnsi="Arial" w:cs="Arial"/>
                <w:b/>
                <w:bCs/>
                <w:sz w:val="21"/>
                <w:szCs w:val="21"/>
                <w:lang w:eastAsia="tr-TR"/>
              </w:rPr>
            </w:pPr>
            <w:hyperlink r:id="rId193" w:tooltip="Show study NCT01098084: Decitabine in Patients With Chronic Myelomonocytic Leukemia (CMML)" w:history="1">
              <w:r w:rsidRPr="00285196">
                <w:rPr>
                  <w:rFonts w:ascii="Arial" w:eastAsia="Times New Roman" w:hAnsi="Arial" w:cs="Arial"/>
                  <w:b/>
                  <w:bCs/>
                  <w:color w:val="1A3D85"/>
                  <w:sz w:val="21"/>
                  <w:szCs w:val="21"/>
                  <w:u w:val="single"/>
                  <w:lang w:eastAsia="tr-TR"/>
                </w:rPr>
                <w:t>Decitabine in Patients With Chronic Myelomonocytic Leukemia (CMML)</w:t>
              </w:r>
            </w:hyperlink>
          </w:p>
          <w:tbl>
            <w:tblPr>
              <w:tblW w:w="0" w:type="auto"/>
              <w:tblCellSpacing w:w="15" w:type="dxa"/>
              <w:tblCellMar>
                <w:left w:w="0" w:type="dxa"/>
                <w:right w:w="0" w:type="dxa"/>
              </w:tblCellMar>
              <w:tblLook w:val="04A0" w:firstRow="1" w:lastRow="0" w:firstColumn="1" w:lastColumn="0" w:noHBand="0" w:noVBand="1"/>
            </w:tblPr>
            <w:tblGrid>
              <w:gridCol w:w="2925"/>
              <w:gridCol w:w="3572"/>
            </w:tblGrid>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Condition: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Chronic Myelomonocytic Leukemia</w:t>
                  </w:r>
                </w:p>
              </w:tc>
            </w:tr>
            <w:tr w:rsidR="00285196" w:rsidRPr="00285196">
              <w:trPr>
                <w:tblCellSpacing w:w="15" w:type="dxa"/>
              </w:trPr>
              <w:tc>
                <w:tcPr>
                  <w:tcW w:w="2880" w:type="dxa"/>
                  <w:tcBorders>
                    <w:top w:val="nil"/>
                    <w:left w:val="nil"/>
                    <w:bottom w:val="nil"/>
                    <w:right w:val="nil"/>
                  </w:tcBorders>
                  <w:tcMar>
                    <w:top w:w="30" w:type="dxa"/>
                    <w:left w:w="30" w:type="dxa"/>
                    <w:bottom w:w="30" w:type="dxa"/>
                    <w:right w:w="30" w:type="dxa"/>
                  </w:tcMar>
                  <w:hideMark/>
                </w:tcPr>
                <w:p w:rsidR="00285196" w:rsidRPr="00285196" w:rsidRDefault="00285196" w:rsidP="00285196">
                  <w:pPr>
                    <w:spacing w:after="0" w:line="336" w:lineRule="atLeast"/>
                    <w:jc w:val="right"/>
                    <w:rPr>
                      <w:rFonts w:ascii="Arial" w:eastAsia="Times New Roman" w:hAnsi="Arial" w:cs="Arial"/>
                      <w:b/>
                      <w:bCs/>
                      <w:sz w:val="21"/>
                      <w:szCs w:val="21"/>
                      <w:lang w:eastAsia="tr-TR"/>
                    </w:rPr>
                  </w:pPr>
                  <w:r w:rsidRPr="00285196">
                    <w:rPr>
                      <w:rFonts w:ascii="Arial" w:eastAsia="Times New Roman" w:hAnsi="Arial" w:cs="Arial"/>
                      <w:b/>
                      <w:bCs/>
                      <w:sz w:val="21"/>
                      <w:szCs w:val="21"/>
                      <w:lang w:eastAsia="tr-TR"/>
                    </w:rPr>
                    <w:t>Intervention:</w:t>
                  </w:r>
                </w:p>
              </w:tc>
              <w:tc>
                <w:tcPr>
                  <w:tcW w:w="0" w:type="auto"/>
                  <w:tcBorders>
                    <w:top w:val="nil"/>
                    <w:left w:val="nil"/>
                    <w:bottom w:val="nil"/>
                    <w:right w:val="nil"/>
                  </w:tcBorders>
                  <w:tcMar>
                    <w:top w:w="30" w:type="dxa"/>
                    <w:left w:w="240" w:type="dxa"/>
                    <w:bottom w:w="30" w:type="dxa"/>
                    <w:right w:w="30" w:type="dxa"/>
                  </w:tcMar>
                  <w:hideMark/>
                </w:tcPr>
                <w:p w:rsidR="00285196" w:rsidRPr="00285196" w:rsidRDefault="00285196" w:rsidP="00285196">
                  <w:pPr>
                    <w:spacing w:after="0" w:line="336" w:lineRule="atLeast"/>
                    <w:rPr>
                      <w:rFonts w:ascii="Arial" w:eastAsia="Times New Roman" w:hAnsi="Arial" w:cs="Arial"/>
                      <w:sz w:val="21"/>
                      <w:szCs w:val="21"/>
                      <w:lang w:eastAsia="tr-TR"/>
                    </w:rPr>
                  </w:pPr>
                  <w:r w:rsidRPr="00285196">
                    <w:rPr>
                      <w:rFonts w:ascii="Arial" w:eastAsia="Times New Roman" w:hAnsi="Arial" w:cs="Arial"/>
                      <w:sz w:val="21"/>
                      <w:szCs w:val="21"/>
                      <w:lang w:eastAsia="tr-TR"/>
                    </w:rPr>
                    <w:t>Drug: Decitabine</w:t>
                  </w:r>
                </w:p>
              </w:tc>
            </w:tr>
          </w:tbl>
          <w:p w:rsidR="00285196" w:rsidRPr="00285196" w:rsidRDefault="00285196" w:rsidP="00285196">
            <w:pPr>
              <w:spacing w:after="0" w:line="336" w:lineRule="atLeast"/>
              <w:rPr>
                <w:rFonts w:ascii="Arial" w:eastAsia="Times New Roman" w:hAnsi="Arial" w:cs="Arial"/>
                <w:b/>
                <w:bCs/>
                <w:sz w:val="21"/>
                <w:szCs w:val="21"/>
                <w:lang w:eastAsia="tr-TR"/>
              </w:rPr>
            </w:pPr>
          </w:p>
        </w:tc>
      </w:tr>
    </w:tbl>
    <w:p w:rsidR="00285196" w:rsidRPr="00285196" w:rsidRDefault="00285196" w:rsidP="00285196">
      <w:pPr>
        <w:spacing w:after="0" w:line="336" w:lineRule="atLeast"/>
        <w:jc w:val="right"/>
        <w:rPr>
          <w:rFonts w:ascii="Arial" w:eastAsia="Times New Roman" w:hAnsi="Arial" w:cs="Arial"/>
          <w:color w:val="000000"/>
          <w:sz w:val="21"/>
          <w:szCs w:val="21"/>
          <w:lang w:eastAsia="tr-TR"/>
        </w:rPr>
      </w:pPr>
      <w:hyperlink r:id="rId194" w:anchor="wrapper" w:history="1">
        <w:r w:rsidRPr="00285196">
          <w:rPr>
            <w:rFonts w:ascii="Arial" w:eastAsia="Times New Roman" w:hAnsi="Arial" w:cs="Arial"/>
            <w:caps/>
            <w:color w:val="006600"/>
            <w:sz w:val="20"/>
            <w:szCs w:val="20"/>
            <w:u w:val="single"/>
            <w:lang w:eastAsia="tr-TR"/>
          </w:rPr>
          <w:t>TO TOP</w:t>
        </w:r>
      </w:hyperlink>
    </w:p>
    <w:p w:rsidR="00285196" w:rsidRPr="00285196" w:rsidRDefault="00285196" w:rsidP="00285196">
      <w:pPr>
        <w:spacing w:after="0" w:line="336" w:lineRule="atLeast"/>
        <w:rPr>
          <w:rFonts w:ascii="Arial" w:eastAsia="Times New Roman" w:hAnsi="Arial" w:cs="Arial"/>
          <w:color w:val="000000"/>
          <w:sz w:val="21"/>
          <w:szCs w:val="21"/>
          <w:lang w:eastAsia="tr-TR"/>
        </w:rPr>
      </w:pPr>
    </w:p>
    <w:p w:rsidR="00285196" w:rsidRPr="00285196" w:rsidRDefault="00285196" w:rsidP="00285196">
      <w:pPr>
        <w:spacing w:after="0" w:line="336" w:lineRule="atLeast"/>
        <w:jc w:val="center"/>
        <w:rPr>
          <w:rFonts w:ascii="Arial" w:eastAsia="Times New Roman" w:hAnsi="Arial" w:cs="Arial"/>
          <w:color w:val="000000"/>
          <w:sz w:val="21"/>
          <w:szCs w:val="21"/>
          <w:lang w:eastAsia="tr-TR"/>
        </w:rPr>
      </w:pPr>
      <w:r w:rsidRPr="00285196">
        <w:rPr>
          <w:rFonts w:ascii="Arial" w:eastAsia="Times New Roman" w:hAnsi="Arial" w:cs="Arial"/>
          <w:noProof/>
          <w:color w:val="000000"/>
          <w:sz w:val="21"/>
          <w:szCs w:val="21"/>
          <w:lang w:eastAsia="tr-TR"/>
        </w:rPr>
        <w:drawing>
          <wp:inline distT="0" distB="0" distL="0" distR="0" wp14:anchorId="6DABA0F7" wp14:editId="6C4B1A57">
            <wp:extent cx="285750" cy="200025"/>
            <wp:effectExtent l="0" t="0" r="0" b="9525"/>
            <wp:docPr id="8" name="Resim 8" descr="https://www.clinicaltrials.gov/ct2/html/images/frame/gray_left_double_arrow_trans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descr="https://www.clinicaltrials.gov/ct2/html/images/frame/gray_left_double_arrow_transp.gif"/>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285750" cy="200025"/>
                    </a:xfrm>
                    <a:prstGeom prst="rect">
                      <a:avLst/>
                    </a:prstGeom>
                    <a:noFill/>
                    <a:ln>
                      <a:noFill/>
                    </a:ln>
                  </pic:spPr>
                </pic:pic>
              </a:graphicData>
            </a:graphic>
          </wp:inline>
        </w:drawing>
      </w:r>
      <w:r w:rsidRPr="00285196">
        <w:rPr>
          <w:rFonts w:ascii="Arial" w:eastAsia="Times New Roman" w:hAnsi="Arial" w:cs="Arial"/>
          <w:color w:val="000000"/>
          <w:sz w:val="21"/>
          <w:szCs w:val="21"/>
          <w:lang w:eastAsia="tr-TR"/>
        </w:rPr>
        <w:t>    </w:t>
      </w:r>
      <w:r w:rsidRPr="00285196">
        <w:rPr>
          <w:rFonts w:ascii="Arial" w:eastAsia="Times New Roman" w:hAnsi="Arial" w:cs="Arial"/>
          <w:noProof/>
          <w:color w:val="000000"/>
          <w:sz w:val="21"/>
          <w:szCs w:val="21"/>
          <w:lang w:eastAsia="tr-TR"/>
        </w:rPr>
        <w:drawing>
          <wp:inline distT="0" distB="0" distL="0" distR="0" wp14:anchorId="183E6A21" wp14:editId="2D7A2478">
            <wp:extent cx="133350" cy="200025"/>
            <wp:effectExtent l="0" t="0" r="0" b="9525"/>
            <wp:docPr id="9" name="Resim 9" descr="https://www.clinicaltrials.gov/ct2/html/images/frame/gray_left_arrow_trans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https://www.clinicaltrials.gov/ct2/html/images/frame/gray_left_arrow_transp.gif"/>
                    <pic:cNvPicPr>
                      <a:picLocks noChangeAspect="1" noChangeArrowheads="1"/>
                    </pic:cNvPicPr>
                  </pic:nvPicPr>
                  <pic:blipFill>
                    <a:blip r:embed="rId196">
                      <a:extLst>
                        <a:ext uri="{28A0092B-C50C-407E-A947-70E740481C1C}">
                          <a14:useLocalDpi xmlns:a14="http://schemas.microsoft.com/office/drawing/2010/main" val="0"/>
                        </a:ext>
                      </a:extLst>
                    </a:blip>
                    <a:srcRect/>
                    <a:stretch>
                      <a:fillRect/>
                    </a:stretch>
                  </pic:blipFill>
                  <pic:spPr bwMode="auto">
                    <a:xfrm>
                      <a:off x="0" y="0"/>
                      <a:ext cx="133350" cy="200025"/>
                    </a:xfrm>
                    <a:prstGeom prst="rect">
                      <a:avLst/>
                    </a:prstGeom>
                    <a:noFill/>
                    <a:ln>
                      <a:noFill/>
                    </a:ln>
                  </pic:spPr>
                </pic:pic>
              </a:graphicData>
            </a:graphic>
          </wp:inline>
        </w:drawing>
      </w:r>
      <w:r w:rsidRPr="00285196">
        <w:rPr>
          <w:rFonts w:ascii="Arial" w:eastAsia="Times New Roman" w:hAnsi="Arial" w:cs="Arial"/>
          <w:color w:val="000000"/>
          <w:sz w:val="21"/>
          <w:szCs w:val="21"/>
          <w:lang w:eastAsia="tr-TR"/>
        </w:rPr>
        <w:t> Previous Page Studies Shown (1-20) </w:t>
      </w:r>
      <w:hyperlink r:id="rId197" w:tooltip="Show next page of results" w:history="1">
        <w:r w:rsidRPr="00285196">
          <w:rPr>
            <w:rFonts w:ascii="Arial" w:eastAsia="Times New Roman" w:hAnsi="Arial" w:cs="Arial"/>
            <w:color w:val="1A3D85"/>
            <w:sz w:val="21"/>
            <w:szCs w:val="21"/>
            <w:u w:val="single"/>
            <w:lang w:eastAsia="tr-TR"/>
          </w:rPr>
          <w:t>Next Page (21-40)</w:t>
        </w:r>
      </w:hyperlink>
      <w:r w:rsidRPr="00285196">
        <w:rPr>
          <w:rFonts w:ascii="Arial" w:eastAsia="Times New Roman" w:hAnsi="Arial" w:cs="Arial"/>
          <w:color w:val="000000"/>
          <w:sz w:val="21"/>
          <w:szCs w:val="21"/>
          <w:lang w:eastAsia="tr-TR"/>
        </w:rPr>
        <w:t> </w:t>
      </w:r>
      <w:r w:rsidRPr="00285196">
        <w:rPr>
          <w:rFonts w:ascii="Arial" w:eastAsia="Times New Roman" w:hAnsi="Arial" w:cs="Arial"/>
          <w:noProof/>
          <w:color w:val="1A3D85"/>
          <w:sz w:val="21"/>
          <w:szCs w:val="21"/>
          <w:lang w:eastAsia="tr-TR"/>
        </w:rPr>
        <w:drawing>
          <wp:inline distT="0" distB="0" distL="0" distR="0" wp14:anchorId="41D5D713" wp14:editId="43A8D8AE">
            <wp:extent cx="133350" cy="200025"/>
            <wp:effectExtent l="0" t="0" r="0" b="9525"/>
            <wp:docPr id="10" name="Resim 10" descr="Show next page of results">
              <a:hlinkClick xmlns:a="http://schemas.openxmlformats.org/drawingml/2006/main" r:id="rId197" tooltip="&quot;Show next page of results&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Show next page of results">
                      <a:hlinkClick r:id="rId197" tooltip="&quot;Show next page of results&quot;"/>
                    </pic:cNvPr>
                    <pic:cNvPicPr>
                      <a:picLocks noChangeAspect="1" noChangeArrowheads="1"/>
                    </pic:cNvPicPr>
                  </pic:nvPicPr>
                  <pic:blipFill>
                    <a:blip r:embed="rId198">
                      <a:extLst>
                        <a:ext uri="{28A0092B-C50C-407E-A947-70E740481C1C}">
                          <a14:useLocalDpi xmlns:a14="http://schemas.microsoft.com/office/drawing/2010/main" val="0"/>
                        </a:ext>
                      </a:extLst>
                    </a:blip>
                    <a:srcRect/>
                    <a:stretch>
                      <a:fillRect/>
                    </a:stretch>
                  </pic:blipFill>
                  <pic:spPr bwMode="auto">
                    <a:xfrm>
                      <a:off x="0" y="0"/>
                      <a:ext cx="133350" cy="200025"/>
                    </a:xfrm>
                    <a:prstGeom prst="rect">
                      <a:avLst/>
                    </a:prstGeom>
                    <a:noFill/>
                    <a:ln>
                      <a:noFill/>
                    </a:ln>
                  </pic:spPr>
                </pic:pic>
              </a:graphicData>
            </a:graphic>
          </wp:inline>
        </w:drawing>
      </w:r>
      <w:r w:rsidRPr="00285196">
        <w:rPr>
          <w:rFonts w:ascii="Arial" w:eastAsia="Times New Roman" w:hAnsi="Arial" w:cs="Arial"/>
          <w:color w:val="000000"/>
          <w:sz w:val="21"/>
          <w:szCs w:val="21"/>
          <w:lang w:eastAsia="tr-TR"/>
        </w:rPr>
        <w:t>    </w:t>
      </w:r>
      <w:r w:rsidRPr="00285196">
        <w:rPr>
          <w:rFonts w:ascii="Arial" w:eastAsia="Times New Roman" w:hAnsi="Arial" w:cs="Arial"/>
          <w:noProof/>
          <w:color w:val="1A3D85"/>
          <w:sz w:val="21"/>
          <w:szCs w:val="21"/>
          <w:lang w:eastAsia="tr-TR"/>
        </w:rPr>
        <w:drawing>
          <wp:inline distT="0" distB="0" distL="0" distR="0" wp14:anchorId="3F8D70D0" wp14:editId="302DC117">
            <wp:extent cx="285750" cy="200025"/>
            <wp:effectExtent l="0" t="0" r="0" b="9525"/>
            <wp:docPr id="11" name="Resim 11" descr="Last Page">
              <a:hlinkClick xmlns:a="http://schemas.openxmlformats.org/drawingml/2006/main" r:id="rId199" tooltip="&quot;Go to last page (241-243)&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Last Page">
                      <a:hlinkClick r:id="rId199" tooltip="&quot;Go to last page (241-243)&quot;"/>
                    </pic:cNvPr>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285750" cy="200025"/>
                    </a:xfrm>
                    <a:prstGeom prst="rect">
                      <a:avLst/>
                    </a:prstGeom>
                    <a:noFill/>
                    <a:ln>
                      <a:noFill/>
                    </a:ln>
                  </pic:spPr>
                </pic:pic>
              </a:graphicData>
            </a:graphic>
          </wp:inline>
        </w:drawing>
      </w:r>
    </w:p>
    <w:p w:rsidR="00285196" w:rsidRDefault="00285196"/>
    <w:p w:rsidR="00285196" w:rsidRDefault="00285196"/>
    <w:p w:rsidR="00285196" w:rsidRDefault="00285196">
      <w:bookmarkStart w:id="83" w:name="_GoBack"/>
      <w:bookmarkEnd w:id="83"/>
    </w:p>
    <w:sectPr w:rsidR="0028519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5458C6"/>
    <w:multiLevelType w:val="multilevel"/>
    <w:tmpl w:val="E74E3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3AE754F"/>
    <w:multiLevelType w:val="multilevel"/>
    <w:tmpl w:val="6AC43B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5846E1A"/>
    <w:multiLevelType w:val="multilevel"/>
    <w:tmpl w:val="65BC38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B76160B"/>
    <w:multiLevelType w:val="multilevel"/>
    <w:tmpl w:val="BEE853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EC14BF7"/>
    <w:multiLevelType w:val="multilevel"/>
    <w:tmpl w:val="10109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169551C"/>
    <w:multiLevelType w:val="multilevel"/>
    <w:tmpl w:val="AB94D2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33D5E15"/>
    <w:multiLevelType w:val="multilevel"/>
    <w:tmpl w:val="1E0ADE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F026FAB"/>
    <w:multiLevelType w:val="multilevel"/>
    <w:tmpl w:val="65F4A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CF76169"/>
    <w:multiLevelType w:val="multilevel"/>
    <w:tmpl w:val="856025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4BF7D21"/>
    <w:multiLevelType w:val="multilevel"/>
    <w:tmpl w:val="3962E7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5294E02"/>
    <w:multiLevelType w:val="multilevel"/>
    <w:tmpl w:val="E27895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A180C5F"/>
    <w:multiLevelType w:val="multilevel"/>
    <w:tmpl w:val="7CD68A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DAD10D4"/>
    <w:multiLevelType w:val="multilevel"/>
    <w:tmpl w:val="8B2E0D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30340E3"/>
    <w:multiLevelType w:val="multilevel"/>
    <w:tmpl w:val="ED3E1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2C708D7"/>
    <w:multiLevelType w:val="multilevel"/>
    <w:tmpl w:val="851884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53D7649"/>
    <w:multiLevelType w:val="multilevel"/>
    <w:tmpl w:val="5E8CA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0"/>
  </w:num>
  <w:num w:numId="3">
    <w:abstractNumId w:val="14"/>
  </w:num>
  <w:num w:numId="4">
    <w:abstractNumId w:val="4"/>
  </w:num>
  <w:num w:numId="5">
    <w:abstractNumId w:val="8"/>
  </w:num>
  <w:num w:numId="6">
    <w:abstractNumId w:val="3"/>
  </w:num>
  <w:num w:numId="7">
    <w:abstractNumId w:val="2"/>
  </w:num>
  <w:num w:numId="8">
    <w:abstractNumId w:val="1"/>
  </w:num>
  <w:num w:numId="9">
    <w:abstractNumId w:val="13"/>
  </w:num>
  <w:num w:numId="10">
    <w:abstractNumId w:val="5"/>
  </w:num>
  <w:num w:numId="11">
    <w:abstractNumId w:val="6"/>
  </w:num>
  <w:num w:numId="12">
    <w:abstractNumId w:val="10"/>
  </w:num>
  <w:num w:numId="13">
    <w:abstractNumId w:val="10"/>
    <w:lvlOverride w:ilvl="1">
      <w:lvl w:ilvl="1">
        <w:numFmt w:val="decimal"/>
        <w:lvlText w:val="%2."/>
        <w:lvlJc w:val="left"/>
      </w:lvl>
    </w:lvlOverride>
  </w:num>
  <w:num w:numId="14">
    <w:abstractNumId w:val="9"/>
  </w:num>
  <w:num w:numId="15">
    <w:abstractNumId w:val="12"/>
  </w:num>
  <w:num w:numId="16">
    <w:abstractNumId w:val="7"/>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5196"/>
    <w:rsid w:val="00063D47"/>
    <w:rsid w:val="0028519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uiPriority w:val="9"/>
    <w:qFormat/>
    <w:rsid w:val="0028519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2">
    <w:name w:val="heading 2"/>
    <w:basedOn w:val="Normal"/>
    <w:link w:val="Balk2Char"/>
    <w:uiPriority w:val="9"/>
    <w:qFormat/>
    <w:rsid w:val="00285196"/>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285196"/>
    <w:rPr>
      <w:rFonts w:ascii="Times New Roman" w:eastAsia="Times New Roman" w:hAnsi="Times New Roman" w:cs="Times New Roman"/>
      <w:b/>
      <w:bCs/>
      <w:kern w:val="36"/>
      <w:sz w:val="48"/>
      <w:szCs w:val="48"/>
      <w:lang w:eastAsia="tr-TR"/>
    </w:rPr>
  </w:style>
  <w:style w:type="character" w:customStyle="1" w:styleId="Balk2Char">
    <w:name w:val="Başlık 2 Char"/>
    <w:basedOn w:val="VarsaylanParagrafYazTipi"/>
    <w:link w:val="Balk2"/>
    <w:uiPriority w:val="9"/>
    <w:rsid w:val="00285196"/>
    <w:rPr>
      <w:rFonts w:ascii="Times New Roman" w:eastAsia="Times New Roman" w:hAnsi="Times New Roman" w:cs="Times New Roman"/>
      <w:b/>
      <w:bCs/>
      <w:sz w:val="36"/>
      <w:szCs w:val="36"/>
      <w:lang w:eastAsia="tr-TR"/>
    </w:rPr>
  </w:style>
  <w:style w:type="numbering" w:customStyle="1" w:styleId="ListeYok1">
    <w:name w:val="Liste Yok1"/>
    <w:next w:val="ListeYok"/>
    <w:uiPriority w:val="99"/>
    <w:semiHidden/>
    <w:unhideWhenUsed/>
    <w:rsid w:val="00285196"/>
  </w:style>
  <w:style w:type="character" w:styleId="Kpr">
    <w:name w:val="Hyperlink"/>
    <w:basedOn w:val="VarsaylanParagrafYazTipi"/>
    <w:uiPriority w:val="99"/>
    <w:semiHidden/>
    <w:unhideWhenUsed/>
    <w:rsid w:val="00285196"/>
    <w:rPr>
      <w:color w:val="0000FF"/>
      <w:u w:val="single"/>
    </w:rPr>
  </w:style>
  <w:style w:type="character" w:styleId="zlenenKpr">
    <w:name w:val="FollowedHyperlink"/>
    <w:basedOn w:val="VarsaylanParagrafYazTipi"/>
    <w:uiPriority w:val="99"/>
    <w:semiHidden/>
    <w:unhideWhenUsed/>
    <w:rsid w:val="00285196"/>
    <w:rPr>
      <w:color w:val="800080"/>
      <w:u w:val="single"/>
    </w:rPr>
  </w:style>
  <w:style w:type="character" w:customStyle="1" w:styleId="apple-converted-space">
    <w:name w:val="apple-converted-space"/>
    <w:basedOn w:val="VarsaylanParagrafYazTipi"/>
    <w:rsid w:val="00285196"/>
  </w:style>
  <w:style w:type="paragraph" w:styleId="z-Formunst">
    <w:name w:val="HTML Top of Form"/>
    <w:basedOn w:val="Normal"/>
    <w:next w:val="Normal"/>
    <w:link w:val="z-FormunstChar"/>
    <w:hidden/>
    <w:uiPriority w:val="99"/>
    <w:semiHidden/>
    <w:unhideWhenUsed/>
    <w:rsid w:val="00285196"/>
    <w:pPr>
      <w:pBdr>
        <w:bottom w:val="single" w:sz="6" w:space="1" w:color="auto"/>
      </w:pBdr>
      <w:spacing w:after="0" w:line="240" w:lineRule="auto"/>
      <w:jc w:val="center"/>
    </w:pPr>
    <w:rPr>
      <w:rFonts w:ascii="Arial" w:eastAsia="Times New Roman" w:hAnsi="Arial" w:cs="Arial"/>
      <w:vanish/>
      <w:sz w:val="16"/>
      <w:szCs w:val="16"/>
      <w:lang w:eastAsia="tr-TR"/>
    </w:rPr>
  </w:style>
  <w:style w:type="character" w:customStyle="1" w:styleId="z-FormunstChar">
    <w:name w:val="z-Formun Üstü Char"/>
    <w:basedOn w:val="VarsaylanParagrafYazTipi"/>
    <w:link w:val="z-Formunst"/>
    <w:uiPriority w:val="99"/>
    <w:semiHidden/>
    <w:rsid w:val="00285196"/>
    <w:rPr>
      <w:rFonts w:ascii="Arial" w:eastAsia="Times New Roman" w:hAnsi="Arial" w:cs="Arial"/>
      <w:vanish/>
      <w:sz w:val="16"/>
      <w:szCs w:val="16"/>
      <w:lang w:eastAsia="tr-TR"/>
    </w:rPr>
  </w:style>
  <w:style w:type="paragraph" w:styleId="z-FormunAlt">
    <w:name w:val="HTML Bottom of Form"/>
    <w:basedOn w:val="Normal"/>
    <w:next w:val="Normal"/>
    <w:link w:val="z-FormunAltChar"/>
    <w:hidden/>
    <w:uiPriority w:val="99"/>
    <w:semiHidden/>
    <w:unhideWhenUsed/>
    <w:rsid w:val="00285196"/>
    <w:pPr>
      <w:pBdr>
        <w:top w:val="single" w:sz="6" w:space="1" w:color="auto"/>
      </w:pBdr>
      <w:spacing w:after="0" w:line="240" w:lineRule="auto"/>
      <w:jc w:val="center"/>
    </w:pPr>
    <w:rPr>
      <w:rFonts w:ascii="Arial" w:eastAsia="Times New Roman" w:hAnsi="Arial" w:cs="Arial"/>
      <w:vanish/>
      <w:sz w:val="16"/>
      <w:szCs w:val="16"/>
      <w:lang w:eastAsia="tr-TR"/>
    </w:rPr>
  </w:style>
  <w:style w:type="character" w:customStyle="1" w:styleId="z-FormunAltChar">
    <w:name w:val="z-Formun Altı Char"/>
    <w:basedOn w:val="VarsaylanParagrafYazTipi"/>
    <w:link w:val="z-FormunAlt"/>
    <w:uiPriority w:val="99"/>
    <w:semiHidden/>
    <w:rsid w:val="00285196"/>
    <w:rPr>
      <w:rFonts w:ascii="Arial" w:eastAsia="Times New Roman" w:hAnsi="Arial" w:cs="Arial"/>
      <w:vanish/>
      <w:sz w:val="16"/>
      <w:szCs w:val="16"/>
      <w:lang w:eastAsia="tr-TR"/>
    </w:rPr>
  </w:style>
  <w:style w:type="character" w:customStyle="1" w:styleId="long-title">
    <w:name w:val="long-title"/>
    <w:basedOn w:val="VarsaylanParagrafYazTipi"/>
    <w:rsid w:val="00285196"/>
  </w:style>
  <w:style w:type="character" w:customStyle="1" w:styleId="at-icon-wrapper">
    <w:name w:val="at-icon-wrapper"/>
    <w:basedOn w:val="VarsaylanParagrafYazTipi"/>
    <w:rsid w:val="00285196"/>
  </w:style>
  <w:style w:type="character" w:customStyle="1" w:styleId="enlarge">
    <w:name w:val="enlarge"/>
    <w:basedOn w:val="VarsaylanParagrafYazTipi"/>
    <w:rsid w:val="00285196"/>
  </w:style>
  <w:style w:type="character" w:styleId="Gl">
    <w:name w:val="Strong"/>
    <w:basedOn w:val="VarsaylanParagrafYazTipi"/>
    <w:uiPriority w:val="22"/>
    <w:qFormat/>
    <w:rsid w:val="00285196"/>
    <w:rPr>
      <w:b/>
      <w:bCs/>
    </w:rPr>
  </w:style>
  <w:style w:type="character" w:customStyle="1" w:styleId="orangetext">
    <w:name w:val="orangetext"/>
    <w:basedOn w:val="VarsaylanParagrafYazTipi"/>
    <w:rsid w:val="00285196"/>
  </w:style>
  <w:style w:type="paragraph" w:customStyle="1" w:styleId="date">
    <w:name w:val="date"/>
    <w:basedOn w:val="Normal"/>
    <w:rsid w:val="0028519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orangetext1">
    <w:name w:val="orangetext1"/>
    <w:basedOn w:val="Normal"/>
    <w:rsid w:val="0028519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old">
    <w:name w:val="bold"/>
    <w:basedOn w:val="VarsaylanParagrafYazTipi"/>
    <w:rsid w:val="00285196"/>
  </w:style>
  <w:style w:type="character" w:customStyle="1" w:styleId="sup">
    <w:name w:val="sup"/>
    <w:basedOn w:val="VarsaylanParagrafYazTipi"/>
    <w:rsid w:val="00285196"/>
  </w:style>
  <w:style w:type="paragraph" w:customStyle="1" w:styleId="highlighta">
    <w:name w:val="highlighta"/>
    <w:basedOn w:val="Normal"/>
    <w:rsid w:val="0028519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highlightsseereference">
    <w:name w:val="highlightsseereference"/>
    <w:basedOn w:val="Normal"/>
    <w:rsid w:val="0028519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highlightsrevision">
    <w:name w:val="highlightsrevision"/>
    <w:basedOn w:val="Normal"/>
    <w:rsid w:val="0028519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close-toggle">
    <w:name w:val="close-toggle"/>
    <w:basedOn w:val="VarsaylanParagrafYazTipi"/>
    <w:rsid w:val="00285196"/>
  </w:style>
  <w:style w:type="paragraph" w:styleId="NormalWeb">
    <w:name w:val="Normal (Web)"/>
    <w:basedOn w:val="Normal"/>
    <w:uiPriority w:val="99"/>
    <w:semiHidden/>
    <w:unhideWhenUsed/>
    <w:rsid w:val="0028519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first">
    <w:name w:val="first"/>
    <w:basedOn w:val="Normal"/>
    <w:rsid w:val="0028519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ub">
    <w:name w:val="sub"/>
    <w:basedOn w:val="VarsaylanParagrafYazTipi"/>
    <w:rsid w:val="00285196"/>
  </w:style>
  <w:style w:type="character" w:customStyle="1" w:styleId="none">
    <w:name w:val="none"/>
    <w:basedOn w:val="VarsaylanParagrafYazTipi"/>
    <w:rsid w:val="00285196"/>
  </w:style>
  <w:style w:type="character" w:customStyle="1" w:styleId="contenttablereg">
    <w:name w:val="contenttablereg"/>
    <w:basedOn w:val="VarsaylanParagrafYazTipi"/>
    <w:rsid w:val="00285196"/>
  </w:style>
  <w:style w:type="character" w:customStyle="1" w:styleId="formheadingtitle">
    <w:name w:val="formheadingtitle"/>
    <w:basedOn w:val="VarsaylanParagrafYazTipi"/>
    <w:rsid w:val="00285196"/>
  </w:style>
  <w:style w:type="paragraph" w:styleId="BalonMetni">
    <w:name w:val="Balloon Text"/>
    <w:basedOn w:val="Normal"/>
    <w:link w:val="BalonMetniChar"/>
    <w:uiPriority w:val="99"/>
    <w:semiHidden/>
    <w:unhideWhenUsed/>
    <w:rsid w:val="0028519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8519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uiPriority w:val="9"/>
    <w:qFormat/>
    <w:rsid w:val="0028519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2">
    <w:name w:val="heading 2"/>
    <w:basedOn w:val="Normal"/>
    <w:link w:val="Balk2Char"/>
    <w:uiPriority w:val="9"/>
    <w:qFormat/>
    <w:rsid w:val="00285196"/>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285196"/>
    <w:rPr>
      <w:rFonts w:ascii="Times New Roman" w:eastAsia="Times New Roman" w:hAnsi="Times New Roman" w:cs="Times New Roman"/>
      <w:b/>
      <w:bCs/>
      <w:kern w:val="36"/>
      <w:sz w:val="48"/>
      <w:szCs w:val="48"/>
      <w:lang w:eastAsia="tr-TR"/>
    </w:rPr>
  </w:style>
  <w:style w:type="character" w:customStyle="1" w:styleId="Balk2Char">
    <w:name w:val="Başlık 2 Char"/>
    <w:basedOn w:val="VarsaylanParagrafYazTipi"/>
    <w:link w:val="Balk2"/>
    <w:uiPriority w:val="9"/>
    <w:rsid w:val="00285196"/>
    <w:rPr>
      <w:rFonts w:ascii="Times New Roman" w:eastAsia="Times New Roman" w:hAnsi="Times New Roman" w:cs="Times New Roman"/>
      <w:b/>
      <w:bCs/>
      <w:sz w:val="36"/>
      <w:szCs w:val="36"/>
      <w:lang w:eastAsia="tr-TR"/>
    </w:rPr>
  </w:style>
  <w:style w:type="numbering" w:customStyle="1" w:styleId="ListeYok1">
    <w:name w:val="Liste Yok1"/>
    <w:next w:val="ListeYok"/>
    <w:uiPriority w:val="99"/>
    <w:semiHidden/>
    <w:unhideWhenUsed/>
    <w:rsid w:val="00285196"/>
  </w:style>
  <w:style w:type="character" w:styleId="Kpr">
    <w:name w:val="Hyperlink"/>
    <w:basedOn w:val="VarsaylanParagrafYazTipi"/>
    <w:uiPriority w:val="99"/>
    <w:semiHidden/>
    <w:unhideWhenUsed/>
    <w:rsid w:val="00285196"/>
    <w:rPr>
      <w:color w:val="0000FF"/>
      <w:u w:val="single"/>
    </w:rPr>
  </w:style>
  <w:style w:type="character" w:styleId="zlenenKpr">
    <w:name w:val="FollowedHyperlink"/>
    <w:basedOn w:val="VarsaylanParagrafYazTipi"/>
    <w:uiPriority w:val="99"/>
    <w:semiHidden/>
    <w:unhideWhenUsed/>
    <w:rsid w:val="00285196"/>
    <w:rPr>
      <w:color w:val="800080"/>
      <w:u w:val="single"/>
    </w:rPr>
  </w:style>
  <w:style w:type="character" w:customStyle="1" w:styleId="apple-converted-space">
    <w:name w:val="apple-converted-space"/>
    <w:basedOn w:val="VarsaylanParagrafYazTipi"/>
    <w:rsid w:val="00285196"/>
  </w:style>
  <w:style w:type="paragraph" w:styleId="z-Formunst">
    <w:name w:val="HTML Top of Form"/>
    <w:basedOn w:val="Normal"/>
    <w:next w:val="Normal"/>
    <w:link w:val="z-FormunstChar"/>
    <w:hidden/>
    <w:uiPriority w:val="99"/>
    <w:semiHidden/>
    <w:unhideWhenUsed/>
    <w:rsid w:val="00285196"/>
    <w:pPr>
      <w:pBdr>
        <w:bottom w:val="single" w:sz="6" w:space="1" w:color="auto"/>
      </w:pBdr>
      <w:spacing w:after="0" w:line="240" w:lineRule="auto"/>
      <w:jc w:val="center"/>
    </w:pPr>
    <w:rPr>
      <w:rFonts w:ascii="Arial" w:eastAsia="Times New Roman" w:hAnsi="Arial" w:cs="Arial"/>
      <w:vanish/>
      <w:sz w:val="16"/>
      <w:szCs w:val="16"/>
      <w:lang w:eastAsia="tr-TR"/>
    </w:rPr>
  </w:style>
  <w:style w:type="character" w:customStyle="1" w:styleId="z-FormunstChar">
    <w:name w:val="z-Formun Üstü Char"/>
    <w:basedOn w:val="VarsaylanParagrafYazTipi"/>
    <w:link w:val="z-Formunst"/>
    <w:uiPriority w:val="99"/>
    <w:semiHidden/>
    <w:rsid w:val="00285196"/>
    <w:rPr>
      <w:rFonts w:ascii="Arial" w:eastAsia="Times New Roman" w:hAnsi="Arial" w:cs="Arial"/>
      <w:vanish/>
      <w:sz w:val="16"/>
      <w:szCs w:val="16"/>
      <w:lang w:eastAsia="tr-TR"/>
    </w:rPr>
  </w:style>
  <w:style w:type="paragraph" w:styleId="z-FormunAlt">
    <w:name w:val="HTML Bottom of Form"/>
    <w:basedOn w:val="Normal"/>
    <w:next w:val="Normal"/>
    <w:link w:val="z-FormunAltChar"/>
    <w:hidden/>
    <w:uiPriority w:val="99"/>
    <w:semiHidden/>
    <w:unhideWhenUsed/>
    <w:rsid w:val="00285196"/>
    <w:pPr>
      <w:pBdr>
        <w:top w:val="single" w:sz="6" w:space="1" w:color="auto"/>
      </w:pBdr>
      <w:spacing w:after="0" w:line="240" w:lineRule="auto"/>
      <w:jc w:val="center"/>
    </w:pPr>
    <w:rPr>
      <w:rFonts w:ascii="Arial" w:eastAsia="Times New Roman" w:hAnsi="Arial" w:cs="Arial"/>
      <w:vanish/>
      <w:sz w:val="16"/>
      <w:szCs w:val="16"/>
      <w:lang w:eastAsia="tr-TR"/>
    </w:rPr>
  </w:style>
  <w:style w:type="character" w:customStyle="1" w:styleId="z-FormunAltChar">
    <w:name w:val="z-Formun Altı Char"/>
    <w:basedOn w:val="VarsaylanParagrafYazTipi"/>
    <w:link w:val="z-FormunAlt"/>
    <w:uiPriority w:val="99"/>
    <w:semiHidden/>
    <w:rsid w:val="00285196"/>
    <w:rPr>
      <w:rFonts w:ascii="Arial" w:eastAsia="Times New Roman" w:hAnsi="Arial" w:cs="Arial"/>
      <w:vanish/>
      <w:sz w:val="16"/>
      <w:szCs w:val="16"/>
      <w:lang w:eastAsia="tr-TR"/>
    </w:rPr>
  </w:style>
  <w:style w:type="character" w:customStyle="1" w:styleId="long-title">
    <w:name w:val="long-title"/>
    <w:basedOn w:val="VarsaylanParagrafYazTipi"/>
    <w:rsid w:val="00285196"/>
  </w:style>
  <w:style w:type="character" w:customStyle="1" w:styleId="at-icon-wrapper">
    <w:name w:val="at-icon-wrapper"/>
    <w:basedOn w:val="VarsaylanParagrafYazTipi"/>
    <w:rsid w:val="00285196"/>
  </w:style>
  <w:style w:type="character" w:customStyle="1" w:styleId="enlarge">
    <w:name w:val="enlarge"/>
    <w:basedOn w:val="VarsaylanParagrafYazTipi"/>
    <w:rsid w:val="00285196"/>
  </w:style>
  <w:style w:type="character" w:styleId="Gl">
    <w:name w:val="Strong"/>
    <w:basedOn w:val="VarsaylanParagrafYazTipi"/>
    <w:uiPriority w:val="22"/>
    <w:qFormat/>
    <w:rsid w:val="00285196"/>
    <w:rPr>
      <w:b/>
      <w:bCs/>
    </w:rPr>
  </w:style>
  <w:style w:type="character" w:customStyle="1" w:styleId="orangetext">
    <w:name w:val="orangetext"/>
    <w:basedOn w:val="VarsaylanParagrafYazTipi"/>
    <w:rsid w:val="00285196"/>
  </w:style>
  <w:style w:type="paragraph" w:customStyle="1" w:styleId="date">
    <w:name w:val="date"/>
    <w:basedOn w:val="Normal"/>
    <w:rsid w:val="0028519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orangetext1">
    <w:name w:val="orangetext1"/>
    <w:basedOn w:val="Normal"/>
    <w:rsid w:val="0028519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old">
    <w:name w:val="bold"/>
    <w:basedOn w:val="VarsaylanParagrafYazTipi"/>
    <w:rsid w:val="00285196"/>
  </w:style>
  <w:style w:type="character" w:customStyle="1" w:styleId="sup">
    <w:name w:val="sup"/>
    <w:basedOn w:val="VarsaylanParagrafYazTipi"/>
    <w:rsid w:val="00285196"/>
  </w:style>
  <w:style w:type="paragraph" w:customStyle="1" w:styleId="highlighta">
    <w:name w:val="highlighta"/>
    <w:basedOn w:val="Normal"/>
    <w:rsid w:val="0028519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highlightsseereference">
    <w:name w:val="highlightsseereference"/>
    <w:basedOn w:val="Normal"/>
    <w:rsid w:val="0028519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highlightsrevision">
    <w:name w:val="highlightsrevision"/>
    <w:basedOn w:val="Normal"/>
    <w:rsid w:val="0028519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close-toggle">
    <w:name w:val="close-toggle"/>
    <w:basedOn w:val="VarsaylanParagrafYazTipi"/>
    <w:rsid w:val="00285196"/>
  </w:style>
  <w:style w:type="paragraph" w:styleId="NormalWeb">
    <w:name w:val="Normal (Web)"/>
    <w:basedOn w:val="Normal"/>
    <w:uiPriority w:val="99"/>
    <w:semiHidden/>
    <w:unhideWhenUsed/>
    <w:rsid w:val="0028519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first">
    <w:name w:val="first"/>
    <w:basedOn w:val="Normal"/>
    <w:rsid w:val="0028519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ub">
    <w:name w:val="sub"/>
    <w:basedOn w:val="VarsaylanParagrafYazTipi"/>
    <w:rsid w:val="00285196"/>
  </w:style>
  <w:style w:type="character" w:customStyle="1" w:styleId="none">
    <w:name w:val="none"/>
    <w:basedOn w:val="VarsaylanParagrafYazTipi"/>
    <w:rsid w:val="00285196"/>
  </w:style>
  <w:style w:type="character" w:customStyle="1" w:styleId="contenttablereg">
    <w:name w:val="contenttablereg"/>
    <w:basedOn w:val="VarsaylanParagrafYazTipi"/>
    <w:rsid w:val="00285196"/>
  </w:style>
  <w:style w:type="character" w:customStyle="1" w:styleId="formheadingtitle">
    <w:name w:val="formheadingtitle"/>
    <w:basedOn w:val="VarsaylanParagrafYazTipi"/>
    <w:rsid w:val="00285196"/>
  </w:style>
  <w:style w:type="paragraph" w:styleId="BalonMetni">
    <w:name w:val="Balloon Text"/>
    <w:basedOn w:val="Normal"/>
    <w:link w:val="BalonMetniChar"/>
    <w:uiPriority w:val="99"/>
    <w:semiHidden/>
    <w:unhideWhenUsed/>
    <w:rsid w:val="0028519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8519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238605">
      <w:bodyDiv w:val="1"/>
      <w:marLeft w:val="0"/>
      <w:marRight w:val="0"/>
      <w:marTop w:val="0"/>
      <w:marBottom w:val="0"/>
      <w:divBdr>
        <w:top w:val="none" w:sz="0" w:space="0" w:color="auto"/>
        <w:left w:val="none" w:sz="0" w:space="0" w:color="auto"/>
        <w:bottom w:val="none" w:sz="0" w:space="0" w:color="auto"/>
        <w:right w:val="none" w:sz="0" w:space="0" w:color="auto"/>
      </w:divBdr>
      <w:divsChild>
        <w:div w:id="2067216735">
          <w:marLeft w:val="0"/>
          <w:marRight w:val="0"/>
          <w:marTop w:val="0"/>
          <w:marBottom w:val="0"/>
          <w:divBdr>
            <w:top w:val="none" w:sz="0" w:space="0" w:color="auto"/>
            <w:left w:val="none" w:sz="0" w:space="0" w:color="auto"/>
            <w:bottom w:val="none" w:sz="0" w:space="0" w:color="auto"/>
            <w:right w:val="none" w:sz="0" w:space="0" w:color="auto"/>
          </w:divBdr>
        </w:div>
        <w:div w:id="1386221788">
          <w:marLeft w:val="0"/>
          <w:marRight w:val="0"/>
          <w:marTop w:val="0"/>
          <w:marBottom w:val="60"/>
          <w:divBdr>
            <w:top w:val="none" w:sz="0" w:space="0" w:color="auto"/>
            <w:left w:val="none" w:sz="0" w:space="0" w:color="auto"/>
            <w:bottom w:val="none" w:sz="0" w:space="0" w:color="auto"/>
            <w:right w:val="none" w:sz="0" w:space="0" w:color="auto"/>
          </w:divBdr>
          <w:divsChild>
            <w:div w:id="2030907190">
              <w:marLeft w:val="0"/>
              <w:marRight w:val="0"/>
              <w:marTop w:val="0"/>
              <w:marBottom w:val="0"/>
              <w:divBdr>
                <w:top w:val="none" w:sz="0" w:space="0" w:color="auto"/>
                <w:left w:val="none" w:sz="0" w:space="0" w:color="auto"/>
                <w:bottom w:val="none" w:sz="0" w:space="0" w:color="auto"/>
                <w:right w:val="none" w:sz="0" w:space="0" w:color="auto"/>
              </w:divBdr>
            </w:div>
            <w:div w:id="821429521">
              <w:marLeft w:val="0"/>
              <w:marRight w:val="0"/>
              <w:marTop w:val="0"/>
              <w:marBottom w:val="0"/>
              <w:divBdr>
                <w:top w:val="none" w:sz="0" w:space="0" w:color="auto"/>
                <w:left w:val="none" w:sz="0" w:space="0" w:color="auto"/>
                <w:bottom w:val="none" w:sz="0" w:space="0" w:color="auto"/>
                <w:right w:val="none" w:sz="0" w:space="0" w:color="auto"/>
              </w:divBdr>
            </w:div>
            <w:div w:id="618339562">
              <w:marLeft w:val="1875"/>
              <w:marRight w:val="0"/>
              <w:marTop w:val="0"/>
              <w:marBottom w:val="0"/>
              <w:divBdr>
                <w:top w:val="none" w:sz="0" w:space="0" w:color="auto"/>
                <w:left w:val="none" w:sz="0" w:space="0" w:color="auto"/>
                <w:bottom w:val="none" w:sz="0" w:space="0" w:color="auto"/>
                <w:right w:val="none" w:sz="0" w:space="0" w:color="auto"/>
              </w:divBdr>
            </w:div>
          </w:divsChild>
        </w:div>
        <w:div w:id="1493638099">
          <w:marLeft w:val="0"/>
          <w:marRight w:val="0"/>
          <w:marTop w:val="180"/>
          <w:marBottom w:val="0"/>
          <w:divBdr>
            <w:top w:val="double" w:sz="6" w:space="0" w:color="CCCCCC"/>
            <w:left w:val="none" w:sz="0" w:space="0" w:color="auto"/>
            <w:bottom w:val="double" w:sz="6" w:space="0" w:color="CCCCCC"/>
            <w:right w:val="single" w:sz="6" w:space="0" w:color="FFFFFF"/>
          </w:divBdr>
        </w:div>
        <w:div w:id="1939825906">
          <w:marLeft w:val="0"/>
          <w:marRight w:val="0"/>
          <w:marTop w:val="90"/>
          <w:marBottom w:val="0"/>
          <w:divBdr>
            <w:top w:val="none" w:sz="0" w:space="0" w:color="auto"/>
            <w:left w:val="none" w:sz="0" w:space="0" w:color="auto"/>
            <w:bottom w:val="none" w:sz="0" w:space="0" w:color="auto"/>
            <w:right w:val="none" w:sz="0" w:space="0" w:color="auto"/>
          </w:divBdr>
        </w:div>
        <w:div w:id="1628583712">
          <w:marLeft w:val="0"/>
          <w:marRight w:val="0"/>
          <w:marTop w:val="270"/>
          <w:marBottom w:val="0"/>
          <w:divBdr>
            <w:top w:val="single" w:sz="6" w:space="5" w:color="DADADA"/>
            <w:left w:val="none" w:sz="0" w:space="0" w:color="auto"/>
            <w:bottom w:val="single" w:sz="6" w:space="5" w:color="DADADA"/>
            <w:right w:val="none" w:sz="0" w:space="0" w:color="auto"/>
          </w:divBdr>
          <w:divsChild>
            <w:div w:id="698622991">
              <w:marLeft w:val="0"/>
              <w:marRight w:val="0"/>
              <w:marTop w:val="0"/>
              <w:marBottom w:val="0"/>
              <w:divBdr>
                <w:top w:val="none" w:sz="0" w:space="0" w:color="auto"/>
                <w:left w:val="none" w:sz="0" w:space="0" w:color="auto"/>
                <w:bottom w:val="none" w:sz="0" w:space="0" w:color="auto"/>
                <w:right w:val="none" w:sz="0" w:space="0" w:color="auto"/>
              </w:divBdr>
            </w:div>
            <w:div w:id="1830365296">
              <w:marLeft w:val="0"/>
              <w:marRight w:val="0"/>
              <w:marTop w:val="0"/>
              <w:marBottom w:val="0"/>
              <w:divBdr>
                <w:top w:val="none" w:sz="0" w:space="0" w:color="auto"/>
                <w:left w:val="none" w:sz="0" w:space="0" w:color="auto"/>
                <w:bottom w:val="none" w:sz="0" w:space="0" w:color="auto"/>
                <w:right w:val="none" w:sz="0" w:space="0" w:color="auto"/>
              </w:divBdr>
            </w:div>
          </w:divsChild>
        </w:div>
        <w:div w:id="803428701">
          <w:marLeft w:val="0"/>
          <w:marRight w:val="0"/>
          <w:marTop w:val="90"/>
          <w:marBottom w:val="0"/>
          <w:divBdr>
            <w:top w:val="none" w:sz="0" w:space="0" w:color="auto"/>
            <w:left w:val="none" w:sz="0" w:space="0" w:color="auto"/>
            <w:bottom w:val="none" w:sz="0" w:space="0" w:color="auto"/>
            <w:right w:val="none" w:sz="0" w:space="0" w:color="auto"/>
          </w:divBdr>
        </w:div>
        <w:div w:id="64301341">
          <w:marLeft w:val="0"/>
          <w:marRight w:val="0"/>
          <w:marTop w:val="0"/>
          <w:marBottom w:val="0"/>
          <w:divBdr>
            <w:top w:val="none" w:sz="0" w:space="0" w:color="auto"/>
            <w:left w:val="none" w:sz="0" w:space="0" w:color="auto"/>
            <w:bottom w:val="none" w:sz="0" w:space="0" w:color="auto"/>
            <w:right w:val="none" w:sz="0" w:space="0" w:color="auto"/>
          </w:divBdr>
          <w:divsChild>
            <w:div w:id="1706716366">
              <w:marLeft w:val="0"/>
              <w:marRight w:val="180"/>
              <w:marTop w:val="90"/>
              <w:marBottom w:val="0"/>
              <w:divBdr>
                <w:top w:val="none" w:sz="0" w:space="0" w:color="auto"/>
                <w:left w:val="none" w:sz="0" w:space="0" w:color="auto"/>
                <w:bottom w:val="none" w:sz="0" w:space="0" w:color="auto"/>
                <w:right w:val="none" w:sz="0" w:space="0" w:color="auto"/>
              </w:divBdr>
            </w:div>
            <w:div w:id="1148059828">
              <w:marLeft w:val="0"/>
              <w:marRight w:val="180"/>
              <w:marTop w:val="90"/>
              <w:marBottom w:val="0"/>
              <w:divBdr>
                <w:top w:val="none" w:sz="0" w:space="0" w:color="auto"/>
                <w:left w:val="none" w:sz="0" w:space="0" w:color="auto"/>
                <w:bottom w:val="none" w:sz="0" w:space="0" w:color="auto"/>
                <w:right w:val="none" w:sz="0" w:space="0" w:color="auto"/>
              </w:divBdr>
            </w:div>
          </w:divsChild>
        </w:div>
        <w:div w:id="1096438159">
          <w:marLeft w:val="0"/>
          <w:marRight w:val="0"/>
          <w:marTop w:val="0"/>
          <w:marBottom w:val="0"/>
          <w:divBdr>
            <w:top w:val="none" w:sz="0" w:space="0" w:color="auto"/>
            <w:left w:val="none" w:sz="0" w:space="0" w:color="auto"/>
            <w:bottom w:val="none" w:sz="0" w:space="0" w:color="auto"/>
            <w:right w:val="none" w:sz="0" w:space="0" w:color="auto"/>
          </w:divBdr>
        </w:div>
        <w:div w:id="684090150">
          <w:marLeft w:val="0"/>
          <w:marRight w:val="0"/>
          <w:marTop w:val="0"/>
          <w:marBottom w:val="0"/>
          <w:divBdr>
            <w:top w:val="none" w:sz="0" w:space="0" w:color="auto"/>
            <w:left w:val="none" w:sz="0" w:space="0" w:color="auto"/>
            <w:bottom w:val="none" w:sz="0" w:space="0" w:color="auto"/>
            <w:right w:val="none" w:sz="0" w:space="0" w:color="auto"/>
          </w:divBdr>
          <w:divsChild>
            <w:div w:id="792284340">
              <w:marLeft w:val="0"/>
              <w:marRight w:val="810"/>
              <w:marTop w:val="180"/>
              <w:marBottom w:val="0"/>
              <w:divBdr>
                <w:top w:val="none" w:sz="0" w:space="0" w:color="auto"/>
                <w:left w:val="none" w:sz="0" w:space="0" w:color="auto"/>
                <w:bottom w:val="none" w:sz="0" w:space="0" w:color="auto"/>
                <w:right w:val="none" w:sz="0" w:space="0" w:color="auto"/>
              </w:divBdr>
            </w:div>
          </w:divsChild>
        </w:div>
      </w:divsChild>
    </w:div>
    <w:div w:id="1415322450">
      <w:bodyDiv w:val="1"/>
      <w:marLeft w:val="0"/>
      <w:marRight w:val="0"/>
      <w:marTop w:val="0"/>
      <w:marBottom w:val="0"/>
      <w:divBdr>
        <w:top w:val="none" w:sz="0" w:space="0" w:color="auto"/>
        <w:left w:val="none" w:sz="0" w:space="0" w:color="auto"/>
        <w:bottom w:val="none" w:sz="0" w:space="0" w:color="auto"/>
        <w:right w:val="none" w:sz="0" w:space="0" w:color="auto"/>
      </w:divBdr>
      <w:divsChild>
        <w:div w:id="623463279">
          <w:marLeft w:val="0"/>
          <w:marRight w:val="0"/>
          <w:marTop w:val="0"/>
          <w:marBottom w:val="0"/>
          <w:divBdr>
            <w:top w:val="none" w:sz="0" w:space="0" w:color="auto"/>
            <w:left w:val="none" w:sz="0" w:space="0" w:color="auto"/>
            <w:bottom w:val="none" w:sz="0" w:space="0" w:color="auto"/>
            <w:right w:val="none" w:sz="0" w:space="0" w:color="auto"/>
          </w:divBdr>
          <w:divsChild>
            <w:div w:id="1476870186">
              <w:marLeft w:val="0"/>
              <w:marRight w:val="0"/>
              <w:marTop w:val="0"/>
              <w:marBottom w:val="0"/>
              <w:divBdr>
                <w:top w:val="none" w:sz="0" w:space="0" w:color="auto"/>
                <w:left w:val="none" w:sz="0" w:space="0" w:color="auto"/>
                <w:bottom w:val="none" w:sz="0" w:space="0" w:color="auto"/>
                <w:right w:val="none" w:sz="0" w:space="0" w:color="auto"/>
              </w:divBdr>
              <w:divsChild>
                <w:div w:id="2124692963">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 w:id="778836628">
          <w:marLeft w:val="0"/>
          <w:marRight w:val="0"/>
          <w:marTop w:val="0"/>
          <w:marBottom w:val="0"/>
          <w:divBdr>
            <w:top w:val="none" w:sz="0" w:space="0" w:color="auto"/>
            <w:left w:val="none" w:sz="0" w:space="0" w:color="auto"/>
            <w:bottom w:val="none" w:sz="0" w:space="0" w:color="auto"/>
            <w:right w:val="none" w:sz="0" w:space="0" w:color="auto"/>
          </w:divBdr>
          <w:divsChild>
            <w:div w:id="2027444560">
              <w:marLeft w:val="0"/>
              <w:marRight w:val="0"/>
              <w:marTop w:val="0"/>
              <w:marBottom w:val="0"/>
              <w:divBdr>
                <w:top w:val="none" w:sz="0" w:space="0" w:color="auto"/>
                <w:left w:val="none" w:sz="0" w:space="0" w:color="auto"/>
                <w:bottom w:val="none" w:sz="0" w:space="0" w:color="auto"/>
                <w:right w:val="none" w:sz="0" w:space="0" w:color="auto"/>
              </w:divBdr>
              <w:divsChild>
                <w:div w:id="1031882346">
                  <w:marLeft w:val="0"/>
                  <w:marRight w:val="0"/>
                  <w:marTop w:val="0"/>
                  <w:marBottom w:val="0"/>
                  <w:divBdr>
                    <w:top w:val="none" w:sz="0" w:space="0" w:color="auto"/>
                    <w:left w:val="none" w:sz="0" w:space="0" w:color="auto"/>
                    <w:bottom w:val="none" w:sz="0" w:space="0" w:color="auto"/>
                    <w:right w:val="none" w:sz="0" w:space="0" w:color="auto"/>
                  </w:divBdr>
                  <w:divsChild>
                    <w:div w:id="1026642321">
                      <w:marLeft w:val="0"/>
                      <w:marRight w:val="600"/>
                      <w:marTop w:val="0"/>
                      <w:marBottom w:val="0"/>
                      <w:divBdr>
                        <w:top w:val="none" w:sz="0" w:space="0" w:color="auto"/>
                        <w:left w:val="none" w:sz="0" w:space="0" w:color="auto"/>
                        <w:bottom w:val="none" w:sz="0" w:space="0" w:color="auto"/>
                        <w:right w:val="none" w:sz="0" w:space="0" w:color="auto"/>
                      </w:divBdr>
                      <w:divsChild>
                        <w:div w:id="327292692">
                          <w:marLeft w:val="0"/>
                          <w:marRight w:val="0"/>
                          <w:marTop w:val="0"/>
                          <w:marBottom w:val="0"/>
                          <w:divBdr>
                            <w:top w:val="none" w:sz="0" w:space="0" w:color="auto"/>
                            <w:left w:val="none" w:sz="0" w:space="0" w:color="auto"/>
                            <w:bottom w:val="none" w:sz="0" w:space="0" w:color="auto"/>
                            <w:right w:val="none" w:sz="0" w:space="0" w:color="auto"/>
                          </w:divBdr>
                        </w:div>
                        <w:div w:id="1546942751">
                          <w:marLeft w:val="0"/>
                          <w:marRight w:val="0"/>
                          <w:marTop w:val="0"/>
                          <w:marBottom w:val="0"/>
                          <w:divBdr>
                            <w:top w:val="none" w:sz="0" w:space="0" w:color="auto"/>
                            <w:left w:val="none" w:sz="0" w:space="0" w:color="auto"/>
                            <w:bottom w:val="none" w:sz="0" w:space="0" w:color="auto"/>
                            <w:right w:val="none" w:sz="0" w:space="0" w:color="auto"/>
                          </w:divBdr>
                          <w:divsChild>
                            <w:div w:id="1741055899">
                              <w:marLeft w:val="0"/>
                              <w:marRight w:val="0"/>
                              <w:marTop w:val="45"/>
                              <w:marBottom w:val="0"/>
                              <w:divBdr>
                                <w:top w:val="single" w:sz="18" w:space="0" w:color="FB7C00"/>
                                <w:left w:val="single" w:sz="18" w:space="0" w:color="FB7C00"/>
                                <w:bottom w:val="single" w:sz="18" w:space="0" w:color="FB7C00"/>
                                <w:right w:val="single" w:sz="18" w:space="0" w:color="FB7C00"/>
                              </w:divBdr>
                            </w:div>
                          </w:divsChild>
                        </w:div>
                      </w:divsChild>
                    </w:div>
                  </w:divsChild>
                </w:div>
              </w:divsChild>
            </w:div>
            <w:div w:id="842937729">
              <w:marLeft w:val="0"/>
              <w:marRight w:val="0"/>
              <w:marTop w:val="0"/>
              <w:marBottom w:val="0"/>
              <w:divBdr>
                <w:top w:val="none" w:sz="0" w:space="0" w:color="auto"/>
                <w:left w:val="none" w:sz="0" w:space="0" w:color="auto"/>
                <w:bottom w:val="none" w:sz="0" w:space="0" w:color="auto"/>
                <w:right w:val="none" w:sz="0" w:space="0" w:color="auto"/>
              </w:divBdr>
              <w:divsChild>
                <w:div w:id="199603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964625">
          <w:marLeft w:val="150"/>
          <w:marRight w:val="150"/>
          <w:marTop w:val="225"/>
          <w:marBottom w:val="225"/>
          <w:divBdr>
            <w:top w:val="single" w:sz="48" w:space="0" w:color="C7E2F1"/>
            <w:left w:val="single" w:sz="48" w:space="0" w:color="C7E2F1"/>
            <w:bottom w:val="single" w:sz="48" w:space="0" w:color="C7E2F1"/>
            <w:right w:val="single" w:sz="48" w:space="0" w:color="C7E2F1"/>
          </w:divBdr>
          <w:divsChild>
            <w:div w:id="388576709">
              <w:marLeft w:val="0"/>
              <w:marRight w:val="0"/>
              <w:marTop w:val="0"/>
              <w:marBottom w:val="300"/>
              <w:divBdr>
                <w:top w:val="none" w:sz="0" w:space="0" w:color="auto"/>
                <w:left w:val="none" w:sz="0" w:space="0" w:color="auto"/>
                <w:bottom w:val="none" w:sz="0" w:space="0" w:color="auto"/>
                <w:right w:val="none" w:sz="0" w:space="0" w:color="auto"/>
              </w:divBdr>
              <w:divsChild>
                <w:div w:id="1060710898">
                  <w:marLeft w:val="0"/>
                  <w:marRight w:val="0"/>
                  <w:marTop w:val="0"/>
                  <w:marBottom w:val="0"/>
                  <w:divBdr>
                    <w:top w:val="none" w:sz="0" w:space="0" w:color="auto"/>
                    <w:left w:val="none" w:sz="0" w:space="0" w:color="auto"/>
                    <w:bottom w:val="dashed" w:sz="6" w:space="2" w:color="000000"/>
                    <w:right w:val="none" w:sz="0" w:space="0" w:color="auto"/>
                  </w:divBdr>
                </w:div>
                <w:div w:id="1384864214">
                  <w:marLeft w:val="0"/>
                  <w:marRight w:val="0"/>
                  <w:marTop w:val="0"/>
                  <w:marBottom w:val="0"/>
                  <w:divBdr>
                    <w:top w:val="none" w:sz="0" w:space="0" w:color="auto"/>
                    <w:left w:val="none" w:sz="0" w:space="0" w:color="auto"/>
                    <w:bottom w:val="none" w:sz="0" w:space="0" w:color="auto"/>
                    <w:right w:val="none" w:sz="0" w:space="0" w:color="auto"/>
                  </w:divBdr>
                </w:div>
              </w:divsChild>
            </w:div>
            <w:div w:id="1931312967">
              <w:marLeft w:val="150"/>
              <w:marRight w:val="150"/>
              <w:marTop w:val="0"/>
              <w:marBottom w:val="0"/>
              <w:divBdr>
                <w:top w:val="none" w:sz="0" w:space="0" w:color="auto"/>
                <w:left w:val="none" w:sz="0" w:space="0" w:color="auto"/>
                <w:bottom w:val="none" w:sz="0" w:space="0" w:color="auto"/>
                <w:right w:val="none" w:sz="0" w:space="0" w:color="auto"/>
              </w:divBdr>
              <w:divsChild>
                <w:div w:id="584459247">
                  <w:marLeft w:val="0"/>
                  <w:marRight w:val="0"/>
                  <w:marTop w:val="0"/>
                  <w:marBottom w:val="0"/>
                  <w:divBdr>
                    <w:top w:val="none" w:sz="0" w:space="0" w:color="auto"/>
                    <w:left w:val="none" w:sz="0" w:space="0" w:color="auto"/>
                    <w:bottom w:val="none" w:sz="0" w:space="0" w:color="auto"/>
                    <w:right w:val="none" w:sz="0" w:space="0" w:color="auto"/>
                  </w:divBdr>
                  <w:divsChild>
                    <w:div w:id="846290454">
                      <w:marLeft w:val="0"/>
                      <w:marRight w:val="0"/>
                      <w:marTop w:val="0"/>
                      <w:marBottom w:val="0"/>
                      <w:divBdr>
                        <w:top w:val="none" w:sz="0" w:space="0" w:color="auto"/>
                        <w:left w:val="none" w:sz="0" w:space="0" w:color="auto"/>
                        <w:bottom w:val="none" w:sz="0" w:space="0" w:color="auto"/>
                        <w:right w:val="none" w:sz="0" w:space="0" w:color="auto"/>
                      </w:divBdr>
                    </w:div>
                  </w:divsChild>
                </w:div>
                <w:div w:id="1973897457">
                  <w:marLeft w:val="0"/>
                  <w:marRight w:val="0"/>
                  <w:marTop w:val="0"/>
                  <w:marBottom w:val="0"/>
                  <w:divBdr>
                    <w:top w:val="none" w:sz="0" w:space="0" w:color="auto"/>
                    <w:left w:val="none" w:sz="0" w:space="0" w:color="auto"/>
                    <w:bottom w:val="none" w:sz="0" w:space="0" w:color="auto"/>
                    <w:right w:val="none" w:sz="0" w:space="0" w:color="auto"/>
                  </w:divBdr>
                  <w:divsChild>
                    <w:div w:id="517472894">
                      <w:marLeft w:val="-225"/>
                      <w:marRight w:val="0"/>
                      <w:marTop w:val="225"/>
                      <w:marBottom w:val="300"/>
                      <w:divBdr>
                        <w:top w:val="single" w:sz="6" w:space="0" w:color="F89025"/>
                        <w:left w:val="none" w:sz="0" w:space="0" w:color="F89025"/>
                        <w:bottom w:val="single" w:sz="6" w:space="0" w:color="F89025"/>
                        <w:right w:val="single" w:sz="6" w:space="0" w:color="F89025"/>
                      </w:divBdr>
                    </w:div>
                    <w:div w:id="793450225">
                      <w:marLeft w:val="-225"/>
                      <w:marRight w:val="0"/>
                      <w:marTop w:val="225"/>
                      <w:marBottom w:val="300"/>
                      <w:divBdr>
                        <w:top w:val="single" w:sz="6" w:space="0" w:color="3899CC"/>
                        <w:left w:val="none" w:sz="0" w:space="0" w:color="auto"/>
                        <w:bottom w:val="single" w:sz="6" w:space="0" w:color="3899CC"/>
                        <w:right w:val="single" w:sz="6" w:space="0" w:color="3899CC"/>
                      </w:divBdr>
                    </w:div>
                    <w:div w:id="1944267251">
                      <w:marLeft w:val="-225"/>
                      <w:marRight w:val="0"/>
                      <w:marTop w:val="225"/>
                      <w:marBottom w:val="300"/>
                      <w:divBdr>
                        <w:top w:val="single" w:sz="6" w:space="0" w:color="3899CC"/>
                        <w:left w:val="none" w:sz="0" w:space="0" w:color="auto"/>
                        <w:bottom w:val="single" w:sz="6" w:space="0" w:color="3899CC"/>
                        <w:right w:val="single" w:sz="6" w:space="0" w:color="3899CC"/>
                      </w:divBdr>
                    </w:div>
                  </w:divsChild>
                </w:div>
              </w:divsChild>
            </w:div>
            <w:div w:id="360401482">
              <w:marLeft w:val="0"/>
              <w:marRight w:val="0"/>
              <w:marTop w:val="0"/>
              <w:marBottom w:val="0"/>
              <w:divBdr>
                <w:top w:val="none" w:sz="0" w:space="0" w:color="auto"/>
                <w:left w:val="single" w:sz="6" w:space="15" w:color="3899CC"/>
                <w:bottom w:val="none" w:sz="0" w:space="0" w:color="auto"/>
                <w:right w:val="none" w:sz="0" w:space="0" w:color="auto"/>
              </w:divBdr>
              <w:divsChild>
                <w:div w:id="540367679">
                  <w:marLeft w:val="0"/>
                  <w:marRight w:val="0"/>
                  <w:marTop w:val="0"/>
                  <w:marBottom w:val="0"/>
                  <w:divBdr>
                    <w:top w:val="none" w:sz="0" w:space="0" w:color="auto"/>
                    <w:left w:val="none" w:sz="0" w:space="0" w:color="auto"/>
                    <w:bottom w:val="none" w:sz="0" w:space="0" w:color="auto"/>
                    <w:right w:val="none" w:sz="0" w:space="0" w:color="auto"/>
                  </w:divBdr>
                  <w:divsChild>
                    <w:div w:id="1720548929">
                      <w:marLeft w:val="0"/>
                      <w:marRight w:val="0"/>
                      <w:marTop w:val="0"/>
                      <w:marBottom w:val="300"/>
                      <w:divBdr>
                        <w:top w:val="dashed" w:sz="6" w:space="8" w:color="333333"/>
                        <w:left w:val="none" w:sz="0" w:space="0" w:color="auto"/>
                        <w:bottom w:val="none" w:sz="0" w:space="0" w:color="auto"/>
                        <w:right w:val="none" w:sz="0" w:space="0" w:color="auto"/>
                      </w:divBdr>
                      <w:divsChild>
                        <w:div w:id="234902065">
                          <w:marLeft w:val="0"/>
                          <w:marRight w:val="0"/>
                          <w:marTop w:val="0"/>
                          <w:marBottom w:val="0"/>
                          <w:divBdr>
                            <w:top w:val="none" w:sz="0" w:space="0" w:color="auto"/>
                            <w:left w:val="none" w:sz="0" w:space="0" w:color="auto"/>
                            <w:bottom w:val="none" w:sz="0" w:space="0" w:color="auto"/>
                            <w:right w:val="none" w:sz="0" w:space="0" w:color="auto"/>
                          </w:divBdr>
                        </w:div>
                        <w:div w:id="1704358871">
                          <w:marLeft w:val="450"/>
                          <w:marRight w:val="0"/>
                          <w:marTop w:val="0"/>
                          <w:marBottom w:val="75"/>
                          <w:divBdr>
                            <w:top w:val="none" w:sz="0" w:space="0" w:color="auto"/>
                            <w:left w:val="none" w:sz="0" w:space="0" w:color="auto"/>
                            <w:bottom w:val="none" w:sz="0" w:space="0" w:color="auto"/>
                            <w:right w:val="none" w:sz="0" w:space="0" w:color="auto"/>
                          </w:divBdr>
                          <w:divsChild>
                            <w:div w:id="1174150022">
                              <w:marLeft w:val="0"/>
                              <w:marRight w:val="0"/>
                              <w:marTop w:val="0"/>
                              <w:marBottom w:val="0"/>
                              <w:divBdr>
                                <w:top w:val="none" w:sz="0" w:space="0" w:color="auto"/>
                                <w:left w:val="none" w:sz="0" w:space="0" w:color="auto"/>
                                <w:bottom w:val="none" w:sz="0" w:space="0" w:color="auto"/>
                                <w:right w:val="none" w:sz="0" w:space="0" w:color="auto"/>
                              </w:divBdr>
                            </w:div>
                            <w:div w:id="212277316">
                              <w:marLeft w:val="0"/>
                              <w:marRight w:val="0"/>
                              <w:marTop w:val="0"/>
                              <w:marBottom w:val="0"/>
                              <w:divBdr>
                                <w:top w:val="none" w:sz="0" w:space="0" w:color="auto"/>
                                <w:left w:val="none" w:sz="0" w:space="0" w:color="auto"/>
                                <w:bottom w:val="none" w:sz="0" w:space="0" w:color="auto"/>
                                <w:right w:val="none" w:sz="0" w:space="0" w:color="auto"/>
                              </w:divBdr>
                              <w:divsChild>
                                <w:div w:id="1734042004">
                                  <w:marLeft w:val="0"/>
                                  <w:marRight w:val="0"/>
                                  <w:marTop w:val="0"/>
                                  <w:marBottom w:val="0"/>
                                  <w:divBdr>
                                    <w:top w:val="none" w:sz="0" w:space="0" w:color="auto"/>
                                    <w:left w:val="none" w:sz="0" w:space="0" w:color="auto"/>
                                    <w:bottom w:val="none" w:sz="0" w:space="0" w:color="auto"/>
                                    <w:right w:val="none" w:sz="0" w:space="0" w:color="auto"/>
                                  </w:divBdr>
                                </w:div>
                              </w:divsChild>
                            </w:div>
                            <w:div w:id="647168173">
                              <w:marLeft w:val="0"/>
                              <w:marRight w:val="0"/>
                              <w:marTop w:val="0"/>
                              <w:marBottom w:val="0"/>
                              <w:divBdr>
                                <w:top w:val="none" w:sz="0" w:space="0" w:color="auto"/>
                                <w:left w:val="none" w:sz="0" w:space="0" w:color="auto"/>
                                <w:bottom w:val="none" w:sz="0" w:space="0" w:color="auto"/>
                                <w:right w:val="none" w:sz="0" w:space="0" w:color="auto"/>
                              </w:divBdr>
                              <w:divsChild>
                                <w:div w:id="1841499648">
                                  <w:marLeft w:val="0"/>
                                  <w:marRight w:val="0"/>
                                  <w:marTop w:val="0"/>
                                  <w:marBottom w:val="0"/>
                                  <w:divBdr>
                                    <w:top w:val="none" w:sz="0" w:space="0" w:color="auto"/>
                                    <w:left w:val="none" w:sz="0" w:space="0" w:color="auto"/>
                                    <w:bottom w:val="none" w:sz="0" w:space="0" w:color="auto"/>
                                    <w:right w:val="none" w:sz="0" w:space="0" w:color="auto"/>
                                  </w:divBdr>
                                </w:div>
                              </w:divsChild>
                            </w:div>
                            <w:div w:id="1545362837">
                              <w:marLeft w:val="0"/>
                              <w:marRight w:val="0"/>
                              <w:marTop w:val="0"/>
                              <w:marBottom w:val="0"/>
                              <w:divBdr>
                                <w:top w:val="none" w:sz="0" w:space="0" w:color="auto"/>
                                <w:left w:val="none" w:sz="0" w:space="0" w:color="auto"/>
                                <w:bottom w:val="none" w:sz="0" w:space="0" w:color="auto"/>
                                <w:right w:val="none" w:sz="0" w:space="0" w:color="auto"/>
                              </w:divBdr>
                              <w:divsChild>
                                <w:div w:id="134102283">
                                  <w:marLeft w:val="0"/>
                                  <w:marRight w:val="0"/>
                                  <w:marTop w:val="0"/>
                                  <w:marBottom w:val="0"/>
                                  <w:divBdr>
                                    <w:top w:val="none" w:sz="0" w:space="0" w:color="auto"/>
                                    <w:left w:val="none" w:sz="0" w:space="0" w:color="auto"/>
                                    <w:bottom w:val="none" w:sz="0" w:space="0" w:color="auto"/>
                                    <w:right w:val="none" w:sz="0" w:space="0" w:color="auto"/>
                                  </w:divBdr>
                                </w:div>
                              </w:divsChild>
                            </w:div>
                            <w:div w:id="341904365">
                              <w:marLeft w:val="0"/>
                              <w:marRight w:val="0"/>
                              <w:marTop w:val="0"/>
                              <w:marBottom w:val="0"/>
                              <w:divBdr>
                                <w:top w:val="none" w:sz="0" w:space="0" w:color="auto"/>
                                <w:left w:val="none" w:sz="0" w:space="0" w:color="auto"/>
                                <w:bottom w:val="none" w:sz="0" w:space="0" w:color="auto"/>
                                <w:right w:val="none" w:sz="0" w:space="0" w:color="auto"/>
                              </w:divBdr>
                              <w:divsChild>
                                <w:div w:id="1033195276">
                                  <w:marLeft w:val="0"/>
                                  <w:marRight w:val="0"/>
                                  <w:marTop w:val="0"/>
                                  <w:marBottom w:val="0"/>
                                  <w:divBdr>
                                    <w:top w:val="none" w:sz="0" w:space="0" w:color="auto"/>
                                    <w:left w:val="none" w:sz="0" w:space="0" w:color="auto"/>
                                    <w:bottom w:val="none" w:sz="0" w:space="0" w:color="auto"/>
                                    <w:right w:val="none" w:sz="0" w:space="0" w:color="auto"/>
                                  </w:divBdr>
                                </w:div>
                              </w:divsChild>
                            </w:div>
                            <w:div w:id="481850201">
                              <w:marLeft w:val="0"/>
                              <w:marRight w:val="0"/>
                              <w:marTop w:val="0"/>
                              <w:marBottom w:val="0"/>
                              <w:divBdr>
                                <w:top w:val="none" w:sz="0" w:space="0" w:color="auto"/>
                                <w:left w:val="none" w:sz="0" w:space="0" w:color="auto"/>
                                <w:bottom w:val="none" w:sz="0" w:space="0" w:color="auto"/>
                                <w:right w:val="none" w:sz="0" w:space="0" w:color="auto"/>
                              </w:divBdr>
                              <w:divsChild>
                                <w:div w:id="149520000">
                                  <w:marLeft w:val="0"/>
                                  <w:marRight w:val="0"/>
                                  <w:marTop w:val="0"/>
                                  <w:marBottom w:val="0"/>
                                  <w:divBdr>
                                    <w:top w:val="none" w:sz="0" w:space="0" w:color="auto"/>
                                    <w:left w:val="none" w:sz="0" w:space="0" w:color="auto"/>
                                    <w:bottom w:val="none" w:sz="0" w:space="0" w:color="auto"/>
                                    <w:right w:val="none" w:sz="0" w:space="0" w:color="auto"/>
                                  </w:divBdr>
                                </w:div>
                              </w:divsChild>
                            </w:div>
                            <w:div w:id="921335735">
                              <w:marLeft w:val="0"/>
                              <w:marRight w:val="0"/>
                              <w:marTop w:val="0"/>
                              <w:marBottom w:val="0"/>
                              <w:divBdr>
                                <w:top w:val="none" w:sz="0" w:space="0" w:color="auto"/>
                                <w:left w:val="none" w:sz="0" w:space="0" w:color="auto"/>
                                <w:bottom w:val="none" w:sz="0" w:space="0" w:color="auto"/>
                                <w:right w:val="none" w:sz="0" w:space="0" w:color="auto"/>
                              </w:divBdr>
                              <w:divsChild>
                                <w:div w:id="1034579784">
                                  <w:marLeft w:val="0"/>
                                  <w:marRight w:val="0"/>
                                  <w:marTop w:val="0"/>
                                  <w:marBottom w:val="0"/>
                                  <w:divBdr>
                                    <w:top w:val="none" w:sz="0" w:space="0" w:color="auto"/>
                                    <w:left w:val="none" w:sz="0" w:space="0" w:color="auto"/>
                                    <w:bottom w:val="none" w:sz="0" w:space="0" w:color="auto"/>
                                    <w:right w:val="none" w:sz="0" w:space="0" w:color="auto"/>
                                  </w:divBdr>
                                </w:div>
                              </w:divsChild>
                            </w:div>
                            <w:div w:id="951789517">
                              <w:marLeft w:val="0"/>
                              <w:marRight w:val="0"/>
                              <w:marTop w:val="0"/>
                              <w:marBottom w:val="0"/>
                              <w:divBdr>
                                <w:top w:val="none" w:sz="0" w:space="0" w:color="auto"/>
                                <w:left w:val="none" w:sz="0" w:space="0" w:color="auto"/>
                                <w:bottom w:val="none" w:sz="0" w:space="0" w:color="auto"/>
                                <w:right w:val="none" w:sz="0" w:space="0" w:color="auto"/>
                              </w:divBdr>
                              <w:divsChild>
                                <w:div w:id="1591231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0999777">
                          <w:marLeft w:val="450"/>
                          <w:marRight w:val="0"/>
                          <w:marTop w:val="0"/>
                          <w:marBottom w:val="75"/>
                          <w:divBdr>
                            <w:top w:val="single" w:sz="18" w:space="15" w:color="C7E2F1"/>
                            <w:left w:val="single" w:sz="18" w:space="15" w:color="C7E2F1"/>
                            <w:bottom w:val="single" w:sz="18" w:space="15" w:color="C7E2F1"/>
                            <w:right w:val="single" w:sz="18" w:space="15" w:color="C7E2F1"/>
                          </w:divBdr>
                        </w:div>
                        <w:div w:id="2066878369">
                          <w:marLeft w:val="450"/>
                          <w:marRight w:val="0"/>
                          <w:marTop w:val="0"/>
                          <w:marBottom w:val="75"/>
                          <w:divBdr>
                            <w:top w:val="none" w:sz="0" w:space="0" w:color="auto"/>
                            <w:left w:val="none" w:sz="0" w:space="0" w:color="auto"/>
                            <w:bottom w:val="none" w:sz="0" w:space="0" w:color="auto"/>
                            <w:right w:val="none" w:sz="0" w:space="0" w:color="auto"/>
                          </w:divBdr>
                        </w:div>
                        <w:div w:id="707028992">
                          <w:marLeft w:val="450"/>
                          <w:marRight w:val="0"/>
                          <w:marTop w:val="0"/>
                          <w:marBottom w:val="75"/>
                          <w:divBdr>
                            <w:top w:val="none" w:sz="0" w:space="0" w:color="auto"/>
                            <w:left w:val="none" w:sz="0" w:space="0" w:color="auto"/>
                            <w:bottom w:val="none" w:sz="0" w:space="0" w:color="auto"/>
                            <w:right w:val="none" w:sz="0" w:space="0" w:color="auto"/>
                          </w:divBdr>
                          <w:divsChild>
                            <w:div w:id="670183639">
                              <w:marLeft w:val="0"/>
                              <w:marRight w:val="0"/>
                              <w:marTop w:val="0"/>
                              <w:marBottom w:val="0"/>
                              <w:divBdr>
                                <w:top w:val="none" w:sz="0" w:space="0" w:color="auto"/>
                                <w:left w:val="none" w:sz="0" w:space="0" w:color="auto"/>
                                <w:bottom w:val="none" w:sz="0" w:space="0" w:color="auto"/>
                                <w:right w:val="none" w:sz="0" w:space="0" w:color="auto"/>
                              </w:divBdr>
                            </w:div>
                            <w:div w:id="865368415">
                              <w:marLeft w:val="0"/>
                              <w:marRight w:val="0"/>
                              <w:marTop w:val="0"/>
                              <w:marBottom w:val="0"/>
                              <w:divBdr>
                                <w:top w:val="none" w:sz="0" w:space="0" w:color="auto"/>
                                <w:left w:val="none" w:sz="0" w:space="0" w:color="auto"/>
                                <w:bottom w:val="none" w:sz="0" w:space="0" w:color="auto"/>
                                <w:right w:val="none" w:sz="0" w:space="0" w:color="auto"/>
                              </w:divBdr>
                            </w:div>
                            <w:div w:id="1292591974">
                              <w:marLeft w:val="0"/>
                              <w:marRight w:val="0"/>
                              <w:marTop w:val="0"/>
                              <w:marBottom w:val="0"/>
                              <w:divBdr>
                                <w:top w:val="none" w:sz="0" w:space="0" w:color="auto"/>
                                <w:left w:val="none" w:sz="0" w:space="0" w:color="auto"/>
                                <w:bottom w:val="none" w:sz="0" w:space="0" w:color="auto"/>
                                <w:right w:val="none" w:sz="0" w:space="0" w:color="auto"/>
                              </w:divBdr>
                            </w:div>
                            <w:div w:id="1660573419">
                              <w:marLeft w:val="0"/>
                              <w:marRight w:val="0"/>
                              <w:marTop w:val="0"/>
                              <w:marBottom w:val="0"/>
                              <w:divBdr>
                                <w:top w:val="none" w:sz="0" w:space="0" w:color="auto"/>
                                <w:left w:val="none" w:sz="0" w:space="0" w:color="auto"/>
                                <w:bottom w:val="none" w:sz="0" w:space="0" w:color="auto"/>
                                <w:right w:val="none" w:sz="0" w:space="0" w:color="auto"/>
                              </w:divBdr>
                            </w:div>
                          </w:divsChild>
                        </w:div>
                        <w:div w:id="2035500706">
                          <w:marLeft w:val="450"/>
                          <w:marRight w:val="0"/>
                          <w:marTop w:val="0"/>
                          <w:marBottom w:val="75"/>
                          <w:divBdr>
                            <w:top w:val="none" w:sz="0" w:space="0" w:color="auto"/>
                            <w:left w:val="none" w:sz="0" w:space="0" w:color="auto"/>
                            <w:bottom w:val="none" w:sz="0" w:space="0" w:color="auto"/>
                            <w:right w:val="none" w:sz="0" w:space="0" w:color="auto"/>
                          </w:divBdr>
                        </w:div>
                        <w:div w:id="1465270999">
                          <w:marLeft w:val="450"/>
                          <w:marRight w:val="0"/>
                          <w:marTop w:val="0"/>
                          <w:marBottom w:val="75"/>
                          <w:divBdr>
                            <w:top w:val="none" w:sz="0" w:space="0" w:color="auto"/>
                            <w:left w:val="none" w:sz="0" w:space="0" w:color="auto"/>
                            <w:bottom w:val="none" w:sz="0" w:space="0" w:color="auto"/>
                            <w:right w:val="none" w:sz="0" w:space="0" w:color="auto"/>
                          </w:divBdr>
                        </w:div>
                        <w:div w:id="1406760666">
                          <w:marLeft w:val="450"/>
                          <w:marRight w:val="0"/>
                          <w:marTop w:val="0"/>
                          <w:marBottom w:val="75"/>
                          <w:divBdr>
                            <w:top w:val="none" w:sz="0" w:space="0" w:color="auto"/>
                            <w:left w:val="none" w:sz="0" w:space="0" w:color="auto"/>
                            <w:bottom w:val="none" w:sz="0" w:space="0" w:color="auto"/>
                            <w:right w:val="none" w:sz="0" w:space="0" w:color="auto"/>
                          </w:divBdr>
                        </w:div>
                        <w:div w:id="977953180">
                          <w:marLeft w:val="450"/>
                          <w:marRight w:val="0"/>
                          <w:marTop w:val="0"/>
                          <w:marBottom w:val="75"/>
                          <w:divBdr>
                            <w:top w:val="none" w:sz="0" w:space="0" w:color="auto"/>
                            <w:left w:val="none" w:sz="0" w:space="0" w:color="auto"/>
                            <w:bottom w:val="none" w:sz="0" w:space="0" w:color="auto"/>
                            <w:right w:val="none" w:sz="0" w:space="0" w:color="auto"/>
                          </w:divBdr>
                        </w:div>
                        <w:div w:id="942884742">
                          <w:marLeft w:val="450"/>
                          <w:marRight w:val="0"/>
                          <w:marTop w:val="0"/>
                          <w:marBottom w:val="75"/>
                          <w:divBdr>
                            <w:top w:val="none" w:sz="0" w:space="0" w:color="auto"/>
                            <w:left w:val="none" w:sz="0" w:space="0" w:color="auto"/>
                            <w:bottom w:val="none" w:sz="0" w:space="0" w:color="auto"/>
                            <w:right w:val="none" w:sz="0" w:space="0" w:color="auto"/>
                          </w:divBdr>
                        </w:div>
                        <w:div w:id="145903875">
                          <w:marLeft w:val="450"/>
                          <w:marRight w:val="0"/>
                          <w:marTop w:val="0"/>
                          <w:marBottom w:val="75"/>
                          <w:divBdr>
                            <w:top w:val="none" w:sz="0" w:space="0" w:color="auto"/>
                            <w:left w:val="none" w:sz="0" w:space="0" w:color="auto"/>
                            <w:bottom w:val="none" w:sz="0" w:space="0" w:color="auto"/>
                            <w:right w:val="none" w:sz="0" w:space="0" w:color="auto"/>
                          </w:divBdr>
                        </w:div>
                        <w:div w:id="2102293238">
                          <w:marLeft w:val="450"/>
                          <w:marRight w:val="0"/>
                          <w:marTop w:val="0"/>
                          <w:marBottom w:val="75"/>
                          <w:divBdr>
                            <w:top w:val="none" w:sz="0" w:space="0" w:color="auto"/>
                            <w:left w:val="none" w:sz="0" w:space="0" w:color="auto"/>
                            <w:bottom w:val="none" w:sz="0" w:space="0" w:color="auto"/>
                            <w:right w:val="none" w:sz="0" w:space="0" w:color="auto"/>
                          </w:divBdr>
                        </w:div>
                        <w:div w:id="2121875178">
                          <w:marLeft w:val="450"/>
                          <w:marRight w:val="0"/>
                          <w:marTop w:val="0"/>
                          <w:marBottom w:val="75"/>
                          <w:divBdr>
                            <w:top w:val="none" w:sz="0" w:space="0" w:color="auto"/>
                            <w:left w:val="none" w:sz="0" w:space="0" w:color="auto"/>
                            <w:bottom w:val="none" w:sz="0" w:space="0" w:color="auto"/>
                            <w:right w:val="none" w:sz="0" w:space="0" w:color="auto"/>
                          </w:divBdr>
                          <w:divsChild>
                            <w:div w:id="156001929">
                              <w:marLeft w:val="0"/>
                              <w:marRight w:val="0"/>
                              <w:marTop w:val="0"/>
                              <w:marBottom w:val="0"/>
                              <w:divBdr>
                                <w:top w:val="none" w:sz="0" w:space="0" w:color="auto"/>
                                <w:left w:val="none" w:sz="0" w:space="0" w:color="auto"/>
                                <w:bottom w:val="none" w:sz="0" w:space="0" w:color="auto"/>
                                <w:right w:val="none" w:sz="0" w:space="0" w:color="auto"/>
                              </w:divBdr>
                              <w:divsChild>
                                <w:div w:id="2078933568">
                                  <w:marLeft w:val="0"/>
                                  <w:marRight w:val="0"/>
                                  <w:marTop w:val="0"/>
                                  <w:marBottom w:val="375"/>
                                  <w:divBdr>
                                    <w:top w:val="none" w:sz="0" w:space="0" w:color="auto"/>
                                    <w:left w:val="none" w:sz="0" w:space="0" w:color="auto"/>
                                    <w:bottom w:val="none" w:sz="0" w:space="0" w:color="auto"/>
                                    <w:right w:val="none" w:sz="0" w:space="0" w:color="auto"/>
                                  </w:divBdr>
                                </w:div>
                                <w:div w:id="723257785">
                                  <w:marLeft w:val="0"/>
                                  <w:marRight w:val="0"/>
                                  <w:marTop w:val="0"/>
                                  <w:marBottom w:val="375"/>
                                  <w:divBdr>
                                    <w:top w:val="none" w:sz="0" w:space="0" w:color="auto"/>
                                    <w:left w:val="none" w:sz="0" w:space="0" w:color="auto"/>
                                    <w:bottom w:val="none" w:sz="0" w:space="0" w:color="auto"/>
                                    <w:right w:val="none" w:sz="0" w:space="0" w:color="auto"/>
                                  </w:divBdr>
                                </w:div>
                              </w:divsChild>
                            </w:div>
                            <w:div w:id="1236161705">
                              <w:marLeft w:val="0"/>
                              <w:marRight w:val="0"/>
                              <w:marTop w:val="0"/>
                              <w:marBottom w:val="0"/>
                              <w:divBdr>
                                <w:top w:val="none" w:sz="0" w:space="0" w:color="auto"/>
                                <w:left w:val="none" w:sz="0" w:space="0" w:color="auto"/>
                                <w:bottom w:val="none" w:sz="0" w:space="0" w:color="auto"/>
                                <w:right w:val="none" w:sz="0" w:space="0" w:color="auto"/>
                              </w:divBdr>
                            </w:div>
                          </w:divsChild>
                        </w:div>
                        <w:div w:id="809597871">
                          <w:marLeft w:val="450"/>
                          <w:marRight w:val="0"/>
                          <w:marTop w:val="0"/>
                          <w:marBottom w:val="75"/>
                          <w:divBdr>
                            <w:top w:val="none" w:sz="0" w:space="0" w:color="auto"/>
                            <w:left w:val="none" w:sz="0" w:space="0" w:color="auto"/>
                            <w:bottom w:val="none" w:sz="0" w:space="0" w:color="auto"/>
                            <w:right w:val="none" w:sz="0" w:space="0" w:color="auto"/>
                          </w:divBdr>
                        </w:div>
                        <w:div w:id="1858544810">
                          <w:marLeft w:val="450"/>
                          <w:marRight w:val="0"/>
                          <w:marTop w:val="0"/>
                          <w:marBottom w:val="75"/>
                          <w:divBdr>
                            <w:top w:val="none" w:sz="0" w:space="0" w:color="auto"/>
                            <w:left w:val="none" w:sz="0" w:space="0" w:color="auto"/>
                            <w:bottom w:val="none" w:sz="0" w:space="0" w:color="auto"/>
                            <w:right w:val="none" w:sz="0" w:space="0" w:color="auto"/>
                          </w:divBdr>
                          <w:divsChild>
                            <w:div w:id="528836977">
                              <w:marLeft w:val="0"/>
                              <w:marRight w:val="0"/>
                              <w:marTop w:val="0"/>
                              <w:marBottom w:val="0"/>
                              <w:divBdr>
                                <w:top w:val="none" w:sz="0" w:space="0" w:color="auto"/>
                                <w:left w:val="none" w:sz="0" w:space="0" w:color="auto"/>
                                <w:bottom w:val="none" w:sz="0" w:space="0" w:color="auto"/>
                                <w:right w:val="none" w:sz="0" w:space="0" w:color="auto"/>
                              </w:divBdr>
                            </w:div>
                            <w:div w:id="1255166012">
                              <w:marLeft w:val="0"/>
                              <w:marRight w:val="0"/>
                              <w:marTop w:val="0"/>
                              <w:marBottom w:val="0"/>
                              <w:divBdr>
                                <w:top w:val="none" w:sz="0" w:space="0" w:color="auto"/>
                                <w:left w:val="none" w:sz="0" w:space="0" w:color="auto"/>
                                <w:bottom w:val="none" w:sz="0" w:space="0" w:color="auto"/>
                                <w:right w:val="none" w:sz="0" w:space="0" w:color="auto"/>
                              </w:divBdr>
                            </w:div>
                            <w:div w:id="1003510670">
                              <w:marLeft w:val="0"/>
                              <w:marRight w:val="0"/>
                              <w:marTop w:val="0"/>
                              <w:marBottom w:val="0"/>
                              <w:divBdr>
                                <w:top w:val="none" w:sz="0" w:space="0" w:color="auto"/>
                                <w:left w:val="none" w:sz="0" w:space="0" w:color="auto"/>
                                <w:bottom w:val="none" w:sz="0" w:space="0" w:color="auto"/>
                                <w:right w:val="none" w:sz="0" w:space="0" w:color="auto"/>
                              </w:divBdr>
                            </w:div>
                            <w:div w:id="1792936687">
                              <w:marLeft w:val="0"/>
                              <w:marRight w:val="0"/>
                              <w:marTop w:val="0"/>
                              <w:marBottom w:val="0"/>
                              <w:divBdr>
                                <w:top w:val="none" w:sz="0" w:space="0" w:color="auto"/>
                                <w:left w:val="none" w:sz="0" w:space="0" w:color="auto"/>
                                <w:bottom w:val="none" w:sz="0" w:space="0" w:color="auto"/>
                                <w:right w:val="none" w:sz="0" w:space="0" w:color="auto"/>
                              </w:divBdr>
                            </w:div>
                            <w:div w:id="1918518445">
                              <w:marLeft w:val="0"/>
                              <w:marRight w:val="0"/>
                              <w:marTop w:val="0"/>
                              <w:marBottom w:val="0"/>
                              <w:divBdr>
                                <w:top w:val="none" w:sz="0" w:space="0" w:color="auto"/>
                                <w:left w:val="none" w:sz="0" w:space="0" w:color="auto"/>
                                <w:bottom w:val="none" w:sz="0" w:space="0" w:color="auto"/>
                                <w:right w:val="none" w:sz="0" w:space="0" w:color="auto"/>
                              </w:divBdr>
                            </w:div>
                            <w:div w:id="982123827">
                              <w:marLeft w:val="0"/>
                              <w:marRight w:val="0"/>
                              <w:marTop w:val="0"/>
                              <w:marBottom w:val="0"/>
                              <w:divBdr>
                                <w:top w:val="none" w:sz="0" w:space="0" w:color="auto"/>
                                <w:left w:val="none" w:sz="0" w:space="0" w:color="auto"/>
                                <w:bottom w:val="none" w:sz="0" w:space="0" w:color="auto"/>
                                <w:right w:val="none" w:sz="0" w:space="0" w:color="auto"/>
                              </w:divBdr>
                            </w:div>
                          </w:divsChild>
                        </w:div>
                        <w:div w:id="820736894">
                          <w:marLeft w:val="450"/>
                          <w:marRight w:val="0"/>
                          <w:marTop w:val="0"/>
                          <w:marBottom w:val="75"/>
                          <w:divBdr>
                            <w:top w:val="none" w:sz="0" w:space="0" w:color="auto"/>
                            <w:left w:val="none" w:sz="0" w:space="0" w:color="auto"/>
                            <w:bottom w:val="none" w:sz="0" w:space="0" w:color="auto"/>
                            <w:right w:val="none" w:sz="0" w:space="0" w:color="auto"/>
                          </w:divBdr>
                        </w:div>
                        <w:div w:id="1452505846">
                          <w:marLeft w:val="450"/>
                          <w:marRight w:val="0"/>
                          <w:marTop w:val="0"/>
                          <w:marBottom w:val="75"/>
                          <w:divBdr>
                            <w:top w:val="none" w:sz="0" w:space="0" w:color="auto"/>
                            <w:left w:val="none" w:sz="0" w:space="0" w:color="auto"/>
                            <w:bottom w:val="none" w:sz="0" w:space="0" w:color="auto"/>
                            <w:right w:val="none" w:sz="0" w:space="0" w:color="auto"/>
                          </w:divBdr>
                        </w:div>
                        <w:div w:id="1079207697">
                          <w:marLeft w:val="450"/>
                          <w:marRight w:val="0"/>
                          <w:marTop w:val="0"/>
                          <w:marBottom w:val="75"/>
                          <w:divBdr>
                            <w:top w:val="none" w:sz="0" w:space="0" w:color="auto"/>
                            <w:left w:val="none" w:sz="0" w:space="0" w:color="auto"/>
                            <w:bottom w:val="none" w:sz="0" w:space="0" w:color="auto"/>
                            <w:right w:val="none" w:sz="0" w:space="0" w:color="auto"/>
                          </w:divBdr>
                          <w:divsChild>
                            <w:div w:id="1662273276">
                              <w:marLeft w:val="0"/>
                              <w:marRight w:val="0"/>
                              <w:marTop w:val="0"/>
                              <w:marBottom w:val="0"/>
                              <w:divBdr>
                                <w:top w:val="none" w:sz="0" w:space="0" w:color="auto"/>
                                <w:left w:val="none" w:sz="0" w:space="0" w:color="auto"/>
                                <w:bottom w:val="none" w:sz="0" w:space="0" w:color="auto"/>
                                <w:right w:val="none" w:sz="0" w:space="0" w:color="auto"/>
                              </w:divBdr>
                            </w:div>
                            <w:div w:id="1358968489">
                              <w:marLeft w:val="0"/>
                              <w:marRight w:val="0"/>
                              <w:marTop w:val="0"/>
                              <w:marBottom w:val="0"/>
                              <w:divBdr>
                                <w:top w:val="none" w:sz="0" w:space="0" w:color="auto"/>
                                <w:left w:val="none" w:sz="0" w:space="0" w:color="auto"/>
                                <w:bottom w:val="none" w:sz="0" w:space="0" w:color="auto"/>
                                <w:right w:val="none" w:sz="0" w:space="0" w:color="auto"/>
                              </w:divBdr>
                            </w:div>
                            <w:div w:id="1346251630">
                              <w:marLeft w:val="0"/>
                              <w:marRight w:val="0"/>
                              <w:marTop w:val="0"/>
                              <w:marBottom w:val="0"/>
                              <w:divBdr>
                                <w:top w:val="none" w:sz="0" w:space="0" w:color="auto"/>
                                <w:left w:val="none" w:sz="0" w:space="0" w:color="auto"/>
                                <w:bottom w:val="none" w:sz="0" w:space="0" w:color="auto"/>
                                <w:right w:val="none" w:sz="0" w:space="0" w:color="auto"/>
                              </w:divBdr>
                              <w:divsChild>
                                <w:div w:id="27802637">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 w:id="471215322">
                          <w:marLeft w:val="450"/>
                          <w:marRight w:val="0"/>
                          <w:marTop w:val="0"/>
                          <w:marBottom w:val="75"/>
                          <w:divBdr>
                            <w:top w:val="none" w:sz="0" w:space="0" w:color="auto"/>
                            <w:left w:val="none" w:sz="0" w:space="0" w:color="auto"/>
                            <w:bottom w:val="none" w:sz="0" w:space="0" w:color="auto"/>
                            <w:right w:val="none" w:sz="0" w:space="0" w:color="auto"/>
                          </w:divBdr>
                          <w:divsChild>
                            <w:div w:id="776632633">
                              <w:marLeft w:val="0"/>
                              <w:marRight w:val="0"/>
                              <w:marTop w:val="0"/>
                              <w:marBottom w:val="0"/>
                              <w:divBdr>
                                <w:top w:val="none" w:sz="0" w:space="0" w:color="auto"/>
                                <w:left w:val="none" w:sz="0" w:space="0" w:color="auto"/>
                                <w:bottom w:val="none" w:sz="0" w:space="0" w:color="auto"/>
                                <w:right w:val="none" w:sz="0" w:space="0" w:color="auto"/>
                              </w:divBdr>
                            </w:div>
                          </w:divsChild>
                        </w:div>
                        <w:div w:id="1470366521">
                          <w:marLeft w:val="450"/>
                          <w:marRight w:val="0"/>
                          <w:marTop w:val="0"/>
                          <w:marBottom w:val="75"/>
                          <w:divBdr>
                            <w:top w:val="none" w:sz="0" w:space="0" w:color="auto"/>
                            <w:left w:val="none" w:sz="0" w:space="0" w:color="auto"/>
                            <w:bottom w:val="none" w:sz="0" w:space="0" w:color="auto"/>
                            <w:right w:val="none" w:sz="0" w:space="0" w:color="auto"/>
                          </w:divBdr>
                          <w:divsChild>
                            <w:div w:id="92674822">
                              <w:marLeft w:val="0"/>
                              <w:marRight w:val="0"/>
                              <w:marTop w:val="0"/>
                              <w:marBottom w:val="0"/>
                              <w:divBdr>
                                <w:top w:val="none" w:sz="0" w:space="0" w:color="auto"/>
                                <w:left w:val="none" w:sz="0" w:space="0" w:color="auto"/>
                                <w:bottom w:val="none" w:sz="0" w:space="0" w:color="auto"/>
                                <w:right w:val="none" w:sz="0" w:space="0" w:color="auto"/>
                              </w:divBdr>
                              <w:divsChild>
                                <w:div w:id="2114936427">
                                  <w:marLeft w:val="0"/>
                                  <w:marRight w:val="0"/>
                                  <w:marTop w:val="0"/>
                                  <w:marBottom w:val="375"/>
                                  <w:divBdr>
                                    <w:top w:val="none" w:sz="0" w:space="0" w:color="auto"/>
                                    <w:left w:val="none" w:sz="0" w:space="0" w:color="auto"/>
                                    <w:bottom w:val="none" w:sz="0" w:space="0" w:color="auto"/>
                                    <w:right w:val="none" w:sz="0" w:space="0" w:color="auto"/>
                                  </w:divBdr>
                                </w:div>
                                <w:div w:id="623314474">
                                  <w:marLeft w:val="0"/>
                                  <w:marRight w:val="0"/>
                                  <w:marTop w:val="0"/>
                                  <w:marBottom w:val="375"/>
                                  <w:divBdr>
                                    <w:top w:val="none" w:sz="0" w:space="0" w:color="auto"/>
                                    <w:left w:val="none" w:sz="0" w:space="0" w:color="auto"/>
                                    <w:bottom w:val="none" w:sz="0" w:space="0" w:color="auto"/>
                                    <w:right w:val="none" w:sz="0" w:space="0" w:color="auto"/>
                                  </w:divBdr>
                                </w:div>
                                <w:div w:id="31612965">
                                  <w:marLeft w:val="0"/>
                                  <w:marRight w:val="0"/>
                                  <w:marTop w:val="0"/>
                                  <w:marBottom w:val="375"/>
                                  <w:divBdr>
                                    <w:top w:val="none" w:sz="0" w:space="0" w:color="auto"/>
                                    <w:left w:val="none" w:sz="0" w:space="0" w:color="auto"/>
                                    <w:bottom w:val="none" w:sz="0" w:space="0" w:color="auto"/>
                                    <w:right w:val="none" w:sz="0" w:space="0" w:color="auto"/>
                                  </w:divBdr>
                                </w:div>
                              </w:divsChild>
                            </w:div>
                            <w:div w:id="474839271">
                              <w:marLeft w:val="0"/>
                              <w:marRight w:val="0"/>
                              <w:marTop w:val="0"/>
                              <w:marBottom w:val="0"/>
                              <w:divBdr>
                                <w:top w:val="none" w:sz="0" w:space="0" w:color="auto"/>
                                <w:left w:val="none" w:sz="0" w:space="0" w:color="auto"/>
                                <w:bottom w:val="none" w:sz="0" w:space="0" w:color="auto"/>
                                <w:right w:val="none" w:sz="0" w:space="0" w:color="auto"/>
                              </w:divBdr>
                              <w:divsChild>
                                <w:div w:id="1739085831">
                                  <w:marLeft w:val="0"/>
                                  <w:marRight w:val="0"/>
                                  <w:marTop w:val="0"/>
                                  <w:marBottom w:val="375"/>
                                  <w:divBdr>
                                    <w:top w:val="none" w:sz="0" w:space="0" w:color="auto"/>
                                    <w:left w:val="none" w:sz="0" w:space="0" w:color="auto"/>
                                    <w:bottom w:val="none" w:sz="0" w:space="0" w:color="auto"/>
                                    <w:right w:val="none" w:sz="0" w:space="0" w:color="auto"/>
                                  </w:divBdr>
                                </w:div>
                                <w:div w:id="1477262918">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 w:id="1033459711">
                          <w:marLeft w:val="450"/>
                          <w:marRight w:val="0"/>
                          <w:marTop w:val="0"/>
                          <w:marBottom w:val="75"/>
                          <w:divBdr>
                            <w:top w:val="none" w:sz="0" w:space="0" w:color="auto"/>
                            <w:left w:val="none" w:sz="0" w:space="0" w:color="auto"/>
                            <w:bottom w:val="none" w:sz="0" w:space="0" w:color="auto"/>
                            <w:right w:val="none" w:sz="0" w:space="0" w:color="auto"/>
                          </w:divBdr>
                        </w:div>
                        <w:div w:id="1773816134">
                          <w:marLeft w:val="450"/>
                          <w:marRight w:val="0"/>
                          <w:marTop w:val="0"/>
                          <w:marBottom w:val="75"/>
                          <w:divBdr>
                            <w:top w:val="none" w:sz="0" w:space="0" w:color="auto"/>
                            <w:left w:val="none" w:sz="0" w:space="0" w:color="auto"/>
                            <w:bottom w:val="none" w:sz="0" w:space="0" w:color="auto"/>
                            <w:right w:val="none" w:sz="0" w:space="0" w:color="auto"/>
                          </w:divBdr>
                        </w:div>
                        <w:div w:id="680357371">
                          <w:marLeft w:val="450"/>
                          <w:marRight w:val="0"/>
                          <w:marTop w:val="0"/>
                          <w:marBottom w:val="75"/>
                          <w:divBdr>
                            <w:top w:val="none" w:sz="0" w:space="0" w:color="auto"/>
                            <w:left w:val="none" w:sz="0" w:space="0" w:color="auto"/>
                            <w:bottom w:val="none" w:sz="0" w:space="0" w:color="auto"/>
                            <w:right w:val="none" w:sz="0" w:space="0" w:color="auto"/>
                          </w:divBdr>
                          <w:divsChild>
                            <w:div w:id="844243581">
                              <w:marLeft w:val="0"/>
                              <w:marRight w:val="0"/>
                              <w:marTop w:val="0"/>
                              <w:marBottom w:val="0"/>
                              <w:divBdr>
                                <w:top w:val="none" w:sz="0" w:space="0" w:color="auto"/>
                                <w:left w:val="none" w:sz="0" w:space="0" w:color="auto"/>
                                <w:bottom w:val="none" w:sz="0" w:space="0" w:color="auto"/>
                                <w:right w:val="none" w:sz="0" w:space="0" w:color="auto"/>
                              </w:divBdr>
                            </w:div>
                          </w:divsChild>
                        </w:div>
                        <w:div w:id="1283686127">
                          <w:marLeft w:val="450"/>
                          <w:marRight w:val="0"/>
                          <w:marTop w:val="0"/>
                          <w:marBottom w:val="75"/>
                          <w:divBdr>
                            <w:top w:val="none" w:sz="0" w:space="0" w:color="auto"/>
                            <w:left w:val="none" w:sz="0" w:space="0" w:color="auto"/>
                            <w:bottom w:val="none" w:sz="0" w:space="0" w:color="auto"/>
                            <w:right w:val="none" w:sz="0" w:space="0" w:color="auto"/>
                          </w:divBdr>
                        </w:div>
                        <w:div w:id="1073971149">
                          <w:marLeft w:val="450"/>
                          <w:marRight w:val="0"/>
                          <w:marTop w:val="0"/>
                          <w:marBottom w:val="75"/>
                          <w:divBdr>
                            <w:top w:val="none" w:sz="0" w:space="0" w:color="auto"/>
                            <w:left w:val="none" w:sz="0" w:space="0" w:color="auto"/>
                            <w:bottom w:val="none" w:sz="0" w:space="0" w:color="auto"/>
                            <w:right w:val="none" w:sz="0" w:space="0" w:color="auto"/>
                          </w:divBdr>
                        </w:div>
                        <w:div w:id="1610694353">
                          <w:marLeft w:val="450"/>
                          <w:marRight w:val="0"/>
                          <w:marTop w:val="0"/>
                          <w:marBottom w:val="75"/>
                          <w:divBdr>
                            <w:top w:val="none" w:sz="0" w:space="0" w:color="auto"/>
                            <w:left w:val="none" w:sz="0" w:space="0" w:color="auto"/>
                            <w:bottom w:val="none" w:sz="0" w:space="0" w:color="auto"/>
                            <w:right w:val="none" w:sz="0" w:space="0" w:color="auto"/>
                          </w:divBdr>
                          <w:divsChild>
                            <w:div w:id="1889226050">
                              <w:marLeft w:val="0"/>
                              <w:marRight w:val="0"/>
                              <w:marTop w:val="0"/>
                              <w:marBottom w:val="375"/>
                              <w:divBdr>
                                <w:top w:val="none" w:sz="0" w:space="0" w:color="auto"/>
                                <w:left w:val="none" w:sz="0" w:space="0" w:color="auto"/>
                                <w:bottom w:val="none" w:sz="0" w:space="0" w:color="auto"/>
                                <w:right w:val="none" w:sz="0" w:space="0" w:color="auto"/>
                              </w:divBdr>
                            </w:div>
                            <w:div w:id="578253771">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dailymed.nlm.nih.gov/dailymed/drugInfo.cfm?setid=358764ca-4c69-d516-af0c-bf8a348d26ca" TargetMode="External"/><Relationship Id="rId21" Type="http://schemas.openxmlformats.org/officeDocument/2006/relationships/hyperlink" Target="http://www.drugbank.ca/search?utf8=%E2%9C%93&amp;query=Decitabine&amp;search_type=drugs&amp;button=" TargetMode="External"/><Relationship Id="rId42" Type="http://schemas.openxmlformats.org/officeDocument/2006/relationships/hyperlink" Target="https://dailymed.nlm.nih.gov/dailymed/drugInfo.cfm?setid=358764ca-4c69-d516-af0c-bf8a348d26ca" TargetMode="External"/><Relationship Id="rId63" Type="http://schemas.openxmlformats.org/officeDocument/2006/relationships/hyperlink" Target="https://dailymed.nlm.nih.gov/dailymed/drugInfo.cfm?setid=358764ca-4c69-d516-af0c-bf8a348d26ca" TargetMode="External"/><Relationship Id="rId84" Type="http://schemas.openxmlformats.org/officeDocument/2006/relationships/hyperlink" Target="https://dailymed.nlm.nih.gov/dailymed/drugInfo.cfm?setid=358764ca-4c69-d516-af0c-bf8a348d26ca" TargetMode="External"/><Relationship Id="rId138" Type="http://schemas.openxmlformats.org/officeDocument/2006/relationships/hyperlink" Target="https://dailymed.nlm.nih.gov/dailymed/drugInfo.cfm?setid=358764ca-4c69-d516-af0c-bf8a348d26ca" TargetMode="External"/><Relationship Id="rId159" Type="http://schemas.openxmlformats.org/officeDocument/2006/relationships/hyperlink" Target="https://www.clinicaltrials.gov/ct2/about-site" TargetMode="External"/><Relationship Id="rId170" Type="http://schemas.openxmlformats.org/officeDocument/2006/relationships/hyperlink" Target="https://www.clinicaltrials.gov/ct2/results?term=Decitabine&amp;show_down=Y" TargetMode="External"/><Relationship Id="rId191" Type="http://schemas.openxmlformats.org/officeDocument/2006/relationships/hyperlink" Target="https://www.clinicaltrials.gov/ct2/show/NCT01687400?term=Decitabine&amp;rank=18" TargetMode="External"/><Relationship Id="rId196" Type="http://schemas.openxmlformats.org/officeDocument/2006/relationships/image" Target="media/image9.gif"/><Relationship Id="rId200" Type="http://schemas.openxmlformats.org/officeDocument/2006/relationships/image" Target="media/image11.gif"/><Relationship Id="rId16" Type="http://schemas.openxmlformats.org/officeDocument/2006/relationships/hyperlink" Target="http://toxnet.nlm.nih.gov/cgi-bin/sis/search2/r?dbs+lactmed:@or+%28@na+%22Decitabine%22+%29" TargetMode="External"/><Relationship Id="rId107" Type="http://schemas.openxmlformats.org/officeDocument/2006/relationships/hyperlink" Target="https://dailymed.nlm.nih.gov/dailymed/drugInfo.cfm?setid=358764ca-4c69-d516-af0c-bf8a348d26ca" TargetMode="External"/><Relationship Id="rId11" Type="http://schemas.openxmlformats.org/officeDocument/2006/relationships/hyperlink" Target="https://dailymed.nlm.nih.gov/dailymed/image.cfm?type=img&amp;name=carton.jpg&amp;setid=358764ca-4c69-d516-af0c-bf8a348d26ca" TargetMode="External"/><Relationship Id="rId32" Type="http://schemas.openxmlformats.org/officeDocument/2006/relationships/hyperlink" Target="https://dailymed.nlm.nih.gov/dailymed/drugInfo.cfm?setid=358764ca-4c69-d516-af0c-bf8a348d26ca" TargetMode="External"/><Relationship Id="rId37" Type="http://schemas.openxmlformats.org/officeDocument/2006/relationships/hyperlink" Target="https://dailymed.nlm.nih.gov/dailymed/drugInfo.cfm?setid=358764ca-4c69-d516-af0c-bf8a348d26ca" TargetMode="External"/><Relationship Id="rId53" Type="http://schemas.openxmlformats.org/officeDocument/2006/relationships/hyperlink" Target="https://dailymed.nlm.nih.gov/dailymed/drugInfo.cfm?setid=358764ca-4c69-d516-af0c-bf8a348d26ca" TargetMode="External"/><Relationship Id="rId58" Type="http://schemas.openxmlformats.org/officeDocument/2006/relationships/hyperlink" Target="https://dailymed.nlm.nih.gov/dailymed/drugInfo.cfm?setid=358764ca-4c69-d516-af0c-bf8a348d26ca" TargetMode="External"/><Relationship Id="rId74" Type="http://schemas.openxmlformats.org/officeDocument/2006/relationships/hyperlink" Target="https://dailymed.nlm.nih.gov/dailymed/drugInfo.cfm?setid=358764ca-4c69-d516-af0c-bf8a348d26ca" TargetMode="External"/><Relationship Id="rId79" Type="http://schemas.openxmlformats.org/officeDocument/2006/relationships/hyperlink" Target="https://dailymed.nlm.nih.gov/dailymed/drugInfo.cfm?setid=358764ca-4c69-d516-af0c-bf8a348d26ca" TargetMode="External"/><Relationship Id="rId102" Type="http://schemas.openxmlformats.org/officeDocument/2006/relationships/hyperlink" Target="https://dailymed.nlm.nih.gov/dailymed/drugInfo.cfm?setid=358764ca-4c69-d516-af0c-bf8a348d26ca" TargetMode="External"/><Relationship Id="rId123" Type="http://schemas.openxmlformats.org/officeDocument/2006/relationships/hyperlink" Target="https://dailymed.nlm.nih.gov/dailymed/drugInfo.cfm?setid=358764ca-4c69-d516-af0c-bf8a348d26ca" TargetMode="External"/><Relationship Id="rId128" Type="http://schemas.openxmlformats.org/officeDocument/2006/relationships/hyperlink" Target="https://dailymed.nlm.nih.gov/dailymed/drugInfo.cfm?setid=358764ca-4c69-d516-af0c-bf8a348d26ca" TargetMode="External"/><Relationship Id="rId144" Type="http://schemas.openxmlformats.org/officeDocument/2006/relationships/hyperlink" Target="https://dailymed.nlm.nih.gov/dailymed/drugInfo.cfm?setid=358764ca-4c69-d516-af0c-bf8a348d26ca" TargetMode="External"/><Relationship Id="rId149" Type="http://schemas.openxmlformats.org/officeDocument/2006/relationships/image" Target="media/image6.wmf"/><Relationship Id="rId5" Type="http://schemas.openxmlformats.org/officeDocument/2006/relationships/webSettings" Target="webSettings.xml"/><Relationship Id="rId90" Type="http://schemas.openxmlformats.org/officeDocument/2006/relationships/hyperlink" Target="https://dailymed.nlm.nih.gov/dailymed/drugInfo.cfm?setid=358764ca-4c69-d516-af0c-bf8a348d26ca" TargetMode="External"/><Relationship Id="rId95" Type="http://schemas.openxmlformats.org/officeDocument/2006/relationships/hyperlink" Target="https://dailymed.nlm.nih.gov/dailymed/drugInfo.cfm?setid=358764ca-4c69-d516-af0c-bf8a348d26ca" TargetMode="External"/><Relationship Id="rId160" Type="http://schemas.openxmlformats.org/officeDocument/2006/relationships/hyperlink" Target="https://www.clinicaltrials.gov/ct2/textsize-help" TargetMode="External"/><Relationship Id="rId165" Type="http://schemas.openxmlformats.org/officeDocument/2006/relationships/hyperlink" Target="https://www.clinicaltrials.gov/ct2/results/browse?term=Decitabine&amp;brwse=cond_alpha_all" TargetMode="External"/><Relationship Id="rId181" Type="http://schemas.openxmlformats.org/officeDocument/2006/relationships/hyperlink" Target="https://www.clinicaltrials.gov/ct2/show/NCT02257138?term=Decitabine&amp;rank=8" TargetMode="External"/><Relationship Id="rId186" Type="http://schemas.openxmlformats.org/officeDocument/2006/relationships/hyperlink" Target="https://www.clinicaltrials.gov/ct2/show/NCT00866073?term=Decitabine&amp;rank=13" TargetMode="External"/><Relationship Id="rId22" Type="http://schemas.openxmlformats.org/officeDocument/2006/relationships/hyperlink" Target="https://dailymed.nlm.nih.gov/dailymed/drugInfo.cfm?setid=358764ca-4c69-d516-af0c-bf8a348d26ca" TargetMode="External"/><Relationship Id="rId27" Type="http://schemas.openxmlformats.org/officeDocument/2006/relationships/hyperlink" Target="https://dailymed.nlm.nih.gov/dailymed/drugInfo.cfm?setid=358764ca-4c69-d516-af0c-bf8a348d26ca&amp;audience=consumer" TargetMode="External"/><Relationship Id="rId43" Type="http://schemas.openxmlformats.org/officeDocument/2006/relationships/hyperlink" Target="https://dailymed.nlm.nih.gov/dailymed/drugInfo.cfm?setid=358764ca-4c69-d516-af0c-bf8a348d26ca" TargetMode="External"/><Relationship Id="rId48" Type="http://schemas.openxmlformats.org/officeDocument/2006/relationships/hyperlink" Target="https://dailymed.nlm.nih.gov/dailymed/drugInfo.cfm?setid=358764ca-4c69-d516-af0c-bf8a348d26ca" TargetMode="External"/><Relationship Id="rId64" Type="http://schemas.openxmlformats.org/officeDocument/2006/relationships/hyperlink" Target="https://dailymed.nlm.nih.gov/dailymed/drugInfo.cfm?setid=358764ca-4c69-d516-af0c-bf8a348d26ca" TargetMode="External"/><Relationship Id="rId69" Type="http://schemas.openxmlformats.org/officeDocument/2006/relationships/hyperlink" Target="https://dailymed.nlm.nih.gov/dailymed/drugInfo.cfm?setid=358764ca-4c69-d516-af0c-bf8a348d26ca" TargetMode="External"/><Relationship Id="rId113" Type="http://schemas.openxmlformats.org/officeDocument/2006/relationships/hyperlink" Target="https://dailymed.nlm.nih.gov/dailymed/drugInfo.cfm?setid=358764ca-4c69-d516-af0c-bf8a348d26ca" TargetMode="External"/><Relationship Id="rId118" Type="http://schemas.openxmlformats.org/officeDocument/2006/relationships/hyperlink" Target="https://dailymed.nlm.nih.gov/dailymed/drugInfo.cfm?setid=358764ca-4c69-d516-af0c-bf8a348d26ca" TargetMode="External"/><Relationship Id="rId134" Type="http://schemas.openxmlformats.org/officeDocument/2006/relationships/hyperlink" Target="https://dailymed.nlm.nih.gov/dailymed/drugInfo.cfm?setid=358764ca-4c69-d516-af0c-bf8a348d26ca" TargetMode="External"/><Relationship Id="rId139" Type="http://schemas.openxmlformats.org/officeDocument/2006/relationships/hyperlink" Target="https://dailymed.nlm.nih.gov/dailymed/drugInfo.cfm?setid=358764ca-4c69-d516-af0c-bf8a348d26ca" TargetMode="External"/><Relationship Id="rId80" Type="http://schemas.openxmlformats.org/officeDocument/2006/relationships/hyperlink" Target="https://dailymed.nlm.nih.gov/dailymed/drugInfo.cfm?setid=358764ca-4c69-d516-af0c-bf8a348d26ca" TargetMode="External"/><Relationship Id="rId85" Type="http://schemas.openxmlformats.org/officeDocument/2006/relationships/hyperlink" Target="https://dailymed.nlm.nih.gov/dailymed/drugInfo.cfm?setid=358764ca-4c69-d516-af0c-bf8a348d26ca" TargetMode="External"/><Relationship Id="rId150" Type="http://schemas.openxmlformats.org/officeDocument/2006/relationships/control" Target="activeX/activeX2.xml"/><Relationship Id="rId155" Type="http://schemas.openxmlformats.org/officeDocument/2006/relationships/hyperlink" Target="https://www.clinicaltrials.gov/ct2/search/index" TargetMode="External"/><Relationship Id="rId171" Type="http://schemas.openxmlformats.org/officeDocument/2006/relationships/image" Target="media/image7.wmf"/><Relationship Id="rId176" Type="http://schemas.openxmlformats.org/officeDocument/2006/relationships/hyperlink" Target="https://www.clinicaltrials.gov/ct2/show/NCT01251627?term=Decitabine&amp;rank=3" TargetMode="External"/><Relationship Id="rId192" Type="http://schemas.openxmlformats.org/officeDocument/2006/relationships/hyperlink" Target="https://www.clinicaltrials.gov/ct2/show/NCT01786343?term=Decitabine&amp;rank=19" TargetMode="External"/><Relationship Id="rId197" Type="http://schemas.openxmlformats.org/officeDocument/2006/relationships/hyperlink" Target="https://www.clinicaltrials.gov/ct2/results?term=Decitabine&amp;pg=2" TargetMode="External"/><Relationship Id="rId201" Type="http://schemas.openxmlformats.org/officeDocument/2006/relationships/fontTable" Target="fontTable.xml"/><Relationship Id="rId12" Type="http://schemas.openxmlformats.org/officeDocument/2006/relationships/image" Target="media/image2.jpeg"/><Relationship Id="rId17" Type="http://schemas.openxmlformats.org/officeDocument/2006/relationships/hyperlink" Target="https://dailymed.nlm.nih.gov/dailymed/drugInfo.cfm?setid=358764ca-4c69-d516-af0c-bf8a348d26ca" TargetMode="External"/><Relationship Id="rId33" Type="http://schemas.openxmlformats.org/officeDocument/2006/relationships/hyperlink" Target="https://dailymed.nlm.nih.gov/dailymed/drugInfo.cfm?setid=358764ca-4c69-d516-af0c-bf8a348d26ca" TargetMode="External"/><Relationship Id="rId38" Type="http://schemas.openxmlformats.org/officeDocument/2006/relationships/hyperlink" Target="https://dailymed.nlm.nih.gov/dailymed/drugInfo.cfm?setid=358764ca-4c69-d516-af0c-bf8a348d26ca" TargetMode="External"/><Relationship Id="rId59" Type="http://schemas.openxmlformats.org/officeDocument/2006/relationships/hyperlink" Target="https://dailymed.nlm.nih.gov/dailymed/drugInfo.cfm?setid=358764ca-4c69-d516-af0c-bf8a348d26ca" TargetMode="External"/><Relationship Id="rId103" Type="http://schemas.openxmlformats.org/officeDocument/2006/relationships/hyperlink" Target="https://dailymed.nlm.nih.gov/dailymed/drugInfo.cfm?setid=358764ca-4c69-d516-af0c-bf8a348d26ca" TargetMode="External"/><Relationship Id="rId108" Type="http://schemas.openxmlformats.org/officeDocument/2006/relationships/hyperlink" Target="https://dailymed.nlm.nih.gov/dailymed/drugInfo.cfm?setid=358764ca-4c69-d516-af0c-bf8a348d26ca" TargetMode="External"/><Relationship Id="rId124" Type="http://schemas.openxmlformats.org/officeDocument/2006/relationships/hyperlink" Target="https://dailymed.nlm.nih.gov/dailymed/drugInfo.cfm?setid=358764ca-4c69-d516-af0c-bf8a348d26ca" TargetMode="External"/><Relationship Id="rId129" Type="http://schemas.openxmlformats.org/officeDocument/2006/relationships/hyperlink" Target="https://dailymed.nlm.nih.gov/dailymed/drugInfo.cfm?setid=358764ca-4c69-d516-af0c-bf8a348d26ca" TargetMode="External"/><Relationship Id="rId54" Type="http://schemas.openxmlformats.org/officeDocument/2006/relationships/hyperlink" Target="https://dailymed.nlm.nih.gov/dailymed/drugInfo.cfm?setid=358764ca-4c69-d516-af0c-bf8a348d26ca" TargetMode="External"/><Relationship Id="rId70" Type="http://schemas.openxmlformats.org/officeDocument/2006/relationships/hyperlink" Target="https://dailymed.nlm.nih.gov/dailymed/drugInfo.cfm?setid=358764ca-4c69-d516-af0c-bf8a348d26ca" TargetMode="External"/><Relationship Id="rId75" Type="http://schemas.openxmlformats.org/officeDocument/2006/relationships/hyperlink" Target="https://dailymed.nlm.nih.gov/dailymed/drugInfo.cfm?setid=358764ca-4c69-d516-af0c-bf8a348d26ca" TargetMode="External"/><Relationship Id="rId91" Type="http://schemas.openxmlformats.org/officeDocument/2006/relationships/hyperlink" Target="https://dailymed.nlm.nih.gov/dailymed/drugInfo.cfm?setid=358764ca-4c69-d516-af0c-bf8a348d26ca" TargetMode="External"/><Relationship Id="rId96" Type="http://schemas.openxmlformats.org/officeDocument/2006/relationships/hyperlink" Target="https://dailymed.nlm.nih.gov/dailymed/drugInfo.cfm?setid=358764ca-4c69-d516-af0c-bf8a348d26ca" TargetMode="External"/><Relationship Id="rId140" Type="http://schemas.openxmlformats.org/officeDocument/2006/relationships/hyperlink" Target="https://dailymed.nlm.nih.gov/dailymed/drugInfo.cfm?setid=358764ca-4c69-d516-af0c-bf8a348d26ca" TargetMode="External"/><Relationship Id="rId145" Type="http://schemas.openxmlformats.org/officeDocument/2006/relationships/hyperlink" Target="https://www.clinicaltrials.gov/ct2/home" TargetMode="External"/><Relationship Id="rId161" Type="http://schemas.openxmlformats.org/officeDocument/2006/relationships/hyperlink" Target="https://www.clinicaltrials.gov/ct2/home" TargetMode="External"/><Relationship Id="rId166" Type="http://schemas.openxmlformats.org/officeDocument/2006/relationships/hyperlink" Target="https://www.clinicaltrials.gov/ct2/results/map?term=Decitabine" TargetMode="External"/><Relationship Id="rId182" Type="http://schemas.openxmlformats.org/officeDocument/2006/relationships/hyperlink" Target="https://www.clinicaltrials.gov/ct2/show/NCT00349596?term=Decitabine&amp;rank=9" TargetMode="External"/><Relationship Id="rId187" Type="http://schemas.openxmlformats.org/officeDocument/2006/relationships/hyperlink" Target="https://www.clinicaltrials.gov/ct2/show/NCT02264873?term=Decitabine&amp;rank=14" TargetMode="External"/><Relationship Id="rId1" Type="http://schemas.openxmlformats.org/officeDocument/2006/relationships/numbering" Target="numbering.xml"/><Relationship Id="rId6" Type="http://schemas.openxmlformats.org/officeDocument/2006/relationships/hyperlink" Target="http://www.fda.gov/Safety/Recalls" TargetMode="External"/><Relationship Id="rId23" Type="http://schemas.openxmlformats.org/officeDocument/2006/relationships/hyperlink" Target="https://dailymed.nlm.nih.gov/dailymed/drugInfo.cfm?setid=358764ca-4c69-d516-af0c-bf8a348d26ca" TargetMode="External"/><Relationship Id="rId28" Type="http://schemas.openxmlformats.org/officeDocument/2006/relationships/hyperlink" Target="https://dailymed.nlm.nih.gov/dailymed/getFile.cfm?setid=358764ca-4c69-d516-af0c-bf8a348d26ca&amp;type=pdf&amp;name=358764ca-4c69-d516-af0c-bf8a348d26ca" TargetMode="External"/><Relationship Id="rId49" Type="http://schemas.openxmlformats.org/officeDocument/2006/relationships/hyperlink" Target="https://dailymed.nlm.nih.gov/dailymed/drugInfo.cfm?setid=358764ca-4c69-d516-af0c-bf8a348d26ca" TargetMode="External"/><Relationship Id="rId114" Type="http://schemas.openxmlformats.org/officeDocument/2006/relationships/hyperlink" Target="https://dailymed.nlm.nih.gov/dailymed/drugInfo.cfm?setid=358764ca-4c69-d516-af0c-bf8a348d26ca" TargetMode="External"/><Relationship Id="rId119" Type="http://schemas.openxmlformats.org/officeDocument/2006/relationships/hyperlink" Target="https://dailymed.nlm.nih.gov/dailymed/drugInfo.cfm?setid=358764ca-4c69-d516-af0c-bf8a348d26ca" TargetMode="External"/><Relationship Id="rId44" Type="http://schemas.openxmlformats.org/officeDocument/2006/relationships/hyperlink" Target="https://dailymed.nlm.nih.gov/dailymed/drugInfo.cfm?setid=358764ca-4c69-d516-af0c-bf8a348d26ca" TargetMode="External"/><Relationship Id="rId60" Type="http://schemas.openxmlformats.org/officeDocument/2006/relationships/hyperlink" Target="https://dailymed.nlm.nih.gov/dailymed/drugInfo.cfm?setid=358764ca-4c69-d516-af0c-bf8a348d26ca" TargetMode="External"/><Relationship Id="rId65" Type="http://schemas.openxmlformats.org/officeDocument/2006/relationships/hyperlink" Target="https://dailymed.nlm.nih.gov/dailymed/drugInfo.cfm?setid=358764ca-4c69-d516-af0c-bf8a348d26ca" TargetMode="External"/><Relationship Id="rId81" Type="http://schemas.openxmlformats.org/officeDocument/2006/relationships/hyperlink" Target="https://dailymed.nlm.nih.gov/dailymed/drugInfo.cfm?setid=358764ca-4c69-d516-af0c-bf8a348d26ca" TargetMode="External"/><Relationship Id="rId86" Type="http://schemas.openxmlformats.org/officeDocument/2006/relationships/hyperlink" Target="https://dailymed.nlm.nih.gov/dailymed/drugInfo.cfm?setid=358764ca-4c69-d516-af0c-bf8a348d26ca" TargetMode="External"/><Relationship Id="rId130" Type="http://schemas.openxmlformats.org/officeDocument/2006/relationships/hyperlink" Target="https://dailymed.nlm.nih.gov/dailymed/drugInfo.cfm?setid=358764ca-4c69-d516-af0c-bf8a348d26ca" TargetMode="External"/><Relationship Id="rId135" Type="http://schemas.openxmlformats.org/officeDocument/2006/relationships/hyperlink" Target="https://dailymed.nlm.nih.gov/dailymed/drugInfo.cfm?setid=358764ca-4c69-d516-af0c-bf8a348d26ca" TargetMode="External"/><Relationship Id="rId151" Type="http://schemas.openxmlformats.org/officeDocument/2006/relationships/hyperlink" Target="https://www.clinicaltrials.gov/ct2/search/advanced" TargetMode="External"/><Relationship Id="rId156" Type="http://schemas.openxmlformats.org/officeDocument/2006/relationships/hyperlink" Target="https://www.clinicaltrials.gov/ct2/about-studies" TargetMode="External"/><Relationship Id="rId177" Type="http://schemas.openxmlformats.org/officeDocument/2006/relationships/hyperlink" Target="https://www.clinicaltrials.gov/ct2/show/NCT01633099?term=Decitabine&amp;rank=4" TargetMode="External"/><Relationship Id="rId198" Type="http://schemas.openxmlformats.org/officeDocument/2006/relationships/image" Target="media/image10.gif"/><Relationship Id="rId172" Type="http://schemas.openxmlformats.org/officeDocument/2006/relationships/control" Target="activeX/activeX3.xml"/><Relationship Id="rId193" Type="http://schemas.openxmlformats.org/officeDocument/2006/relationships/hyperlink" Target="https://www.clinicaltrials.gov/ct2/show/NCT01098084?term=Decitabine&amp;rank=20" TargetMode="External"/><Relationship Id="rId202" Type="http://schemas.openxmlformats.org/officeDocument/2006/relationships/theme" Target="theme/theme1.xml"/><Relationship Id="rId13" Type="http://schemas.openxmlformats.org/officeDocument/2006/relationships/hyperlink" Target="https://dailymed.nlm.nih.gov/dailymed/drugInfo.cfm?setid=358764ca-4c69-d516-af0c-bf8a348d26ca" TargetMode="External"/><Relationship Id="rId18" Type="http://schemas.openxmlformats.org/officeDocument/2006/relationships/hyperlink" Target="https://vsearch.nlm.nih.gov/vivisimo/cgi-bin/query-meta?v:project=medlineplus&amp;query=Decitabine" TargetMode="External"/><Relationship Id="rId39" Type="http://schemas.openxmlformats.org/officeDocument/2006/relationships/hyperlink" Target="https://dailymed.nlm.nih.gov/dailymed/drugInfo.cfm?setid=358764ca-4c69-d516-af0c-bf8a348d26ca" TargetMode="External"/><Relationship Id="rId109" Type="http://schemas.openxmlformats.org/officeDocument/2006/relationships/hyperlink" Target="https://dailymed.nlm.nih.gov/dailymed/drugInfo.cfm?setid=358764ca-4c69-d516-af0c-bf8a348d26ca" TargetMode="External"/><Relationship Id="rId34" Type="http://schemas.openxmlformats.org/officeDocument/2006/relationships/hyperlink" Target="https://dailymed.nlm.nih.gov/dailymed/drugInfo.cfm?setid=358764ca-4c69-d516-af0c-bf8a348d26ca" TargetMode="External"/><Relationship Id="rId50" Type="http://schemas.openxmlformats.org/officeDocument/2006/relationships/hyperlink" Target="https://dailymed.nlm.nih.gov/dailymed/drugInfo.cfm?setid=358764ca-4c69-d516-af0c-bf8a348d26ca" TargetMode="External"/><Relationship Id="rId55" Type="http://schemas.openxmlformats.org/officeDocument/2006/relationships/hyperlink" Target="https://dailymed.nlm.nih.gov/dailymed/drugInfo.cfm?setid=358764ca-4c69-d516-af0c-bf8a348d26ca" TargetMode="External"/><Relationship Id="rId76" Type="http://schemas.openxmlformats.org/officeDocument/2006/relationships/hyperlink" Target="https://dailymed.nlm.nih.gov/dailymed/drugInfo.cfm?setid=358764ca-4c69-d516-af0c-bf8a348d26ca" TargetMode="External"/><Relationship Id="rId97" Type="http://schemas.openxmlformats.org/officeDocument/2006/relationships/hyperlink" Target="https://dailymed.nlm.nih.gov/dailymed/drugInfo.cfm?setid=358764ca-4c69-d516-af0c-bf8a348d26ca" TargetMode="External"/><Relationship Id="rId104" Type="http://schemas.openxmlformats.org/officeDocument/2006/relationships/hyperlink" Target="https://dailymed.nlm.nih.gov/dailymed/drugInfo.cfm?setid=358764ca-4c69-d516-af0c-bf8a348d26ca" TargetMode="External"/><Relationship Id="rId120" Type="http://schemas.openxmlformats.org/officeDocument/2006/relationships/hyperlink" Target="https://dailymed.nlm.nih.gov/dailymed/drugInfo.cfm?setid=358764ca-4c69-d516-af0c-bf8a348d26ca" TargetMode="External"/><Relationship Id="rId125" Type="http://schemas.openxmlformats.org/officeDocument/2006/relationships/hyperlink" Target="https://dailymed.nlm.nih.gov/dailymed/drugInfo.cfm?setid=358764ca-4c69-d516-af0c-bf8a348d26ca" TargetMode="External"/><Relationship Id="rId141" Type="http://schemas.openxmlformats.org/officeDocument/2006/relationships/hyperlink" Target="https://dailymed.nlm.nih.gov/dailymed/drugInfo.cfm?setid=358764ca-4c69-d516-af0c-bf8a348d26ca" TargetMode="External"/><Relationship Id="rId146" Type="http://schemas.openxmlformats.org/officeDocument/2006/relationships/image" Target="media/image4.png"/><Relationship Id="rId167" Type="http://schemas.openxmlformats.org/officeDocument/2006/relationships/hyperlink" Target="https://www.clinicaltrials.gov/ct2/results/details?term=Decitabine" TargetMode="External"/><Relationship Id="rId188" Type="http://schemas.openxmlformats.org/officeDocument/2006/relationships/hyperlink" Target="https://www.clinicaltrials.gov/ct2/show/NCT01893320?term=Decitabine&amp;rank=15" TargetMode="External"/><Relationship Id="rId7" Type="http://schemas.openxmlformats.org/officeDocument/2006/relationships/hyperlink" Target="https://dailymed.nlm.nih.gov/dailymed/drugInfo.cfm?setid=358764ca-4c69-d516-af0c-bf8a348d26ca" TargetMode="External"/><Relationship Id="rId71" Type="http://schemas.openxmlformats.org/officeDocument/2006/relationships/hyperlink" Target="https://dailymed.nlm.nih.gov/dailymed/drugInfo.cfm?setid=358764ca-4c69-d516-af0c-bf8a348d26ca" TargetMode="External"/><Relationship Id="rId92" Type="http://schemas.openxmlformats.org/officeDocument/2006/relationships/hyperlink" Target="https://dailymed.nlm.nih.gov/dailymed/drugInfo.cfm?setid=358764ca-4c69-d516-af0c-bf8a348d26ca" TargetMode="External"/><Relationship Id="rId162" Type="http://schemas.openxmlformats.org/officeDocument/2006/relationships/hyperlink" Target="https://www.clinicaltrials.gov/ct2/search/index" TargetMode="External"/><Relationship Id="rId183" Type="http://schemas.openxmlformats.org/officeDocument/2006/relationships/hyperlink" Target="https://www.clinicaltrials.gov/ct2/show/NCT02141477?term=Decitabine&amp;rank=10" TargetMode="External"/><Relationship Id="rId2" Type="http://schemas.openxmlformats.org/officeDocument/2006/relationships/styles" Target="styles.xml"/><Relationship Id="rId29" Type="http://schemas.openxmlformats.org/officeDocument/2006/relationships/hyperlink" Target="https://dailymed.nlm.nih.gov/dailymed/getFile.cfm?setid=358764ca-4c69-d516-af0c-bf8a348d26ca&amp;type=zip&amp;name=DECITABINE" TargetMode="External"/><Relationship Id="rId24" Type="http://schemas.openxmlformats.org/officeDocument/2006/relationships/hyperlink" Target="https://dailymed.nlm.nih.gov/dailymed/drugInfo.cfm?setid=358764ca-4c69-d516-af0c-bf8a348d26ca" TargetMode="External"/><Relationship Id="rId40" Type="http://schemas.openxmlformats.org/officeDocument/2006/relationships/hyperlink" Target="https://dailymed.nlm.nih.gov/dailymed/drugInfo.cfm?setid=358764ca-4c69-d516-af0c-bf8a348d26ca" TargetMode="External"/><Relationship Id="rId45" Type="http://schemas.openxmlformats.org/officeDocument/2006/relationships/hyperlink" Target="https://dailymed.nlm.nih.gov/dailymed/drugInfo.cfm?setid=358764ca-4c69-d516-af0c-bf8a348d26ca" TargetMode="External"/><Relationship Id="rId66" Type="http://schemas.openxmlformats.org/officeDocument/2006/relationships/hyperlink" Target="https://dailymed.nlm.nih.gov/dailymed/drugInfo.cfm?setid=358764ca-4c69-d516-af0c-bf8a348d26ca" TargetMode="External"/><Relationship Id="rId87" Type="http://schemas.openxmlformats.org/officeDocument/2006/relationships/hyperlink" Target="https://dailymed.nlm.nih.gov/dailymed/drugInfo.cfm?setid=358764ca-4c69-d516-af0c-bf8a348d26ca" TargetMode="External"/><Relationship Id="rId110" Type="http://schemas.openxmlformats.org/officeDocument/2006/relationships/hyperlink" Target="https://dailymed.nlm.nih.gov/dailymed/drugInfo.cfm?setid=358764ca-4c69-d516-af0c-bf8a348d26ca" TargetMode="External"/><Relationship Id="rId115" Type="http://schemas.openxmlformats.org/officeDocument/2006/relationships/hyperlink" Target="https://dailymed.nlm.nih.gov/dailymed/drugInfo.cfm?setid=358764ca-4c69-d516-af0c-bf8a348d26ca" TargetMode="External"/><Relationship Id="rId131" Type="http://schemas.openxmlformats.org/officeDocument/2006/relationships/hyperlink" Target="https://dailymed.nlm.nih.gov/dailymed/drugInfo.cfm?setid=358764ca-4c69-d516-af0c-bf8a348d26ca" TargetMode="External"/><Relationship Id="rId136" Type="http://schemas.openxmlformats.org/officeDocument/2006/relationships/hyperlink" Target="https://dailymed.nlm.nih.gov/dailymed/drugInfo.cfm?setid=358764ca-4c69-d516-af0c-bf8a348d26ca" TargetMode="External"/><Relationship Id="rId157" Type="http://schemas.openxmlformats.org/officeDocument/2006/relationships/hyperlink" Target="https://www.clinicaltrials.gov/ct2/manage-recs" TargetMode="External"/><Relationship Id="rId178" Type="http://schemas.openxmlformats.org/officeDocument/2006/relationships/hyperlink" Target="https://www.clinicaltrials.gov/ct2/show/NCT01568333?term=Decitabine&amp;rank=5" TargetMode="External"/><Relationship Id="rId61" Type="http://schemas.openxmlformats.org/officeDocument/2006/relationships/hyperlink" Target="https://dailymed.nlm.nih.gov/dailymed/drugInfo.cfm?setid=358764ca-4c69-d516-af0c-bf8a348d26ca" TargetMode="External"/><Relationship Id="rId82" Type="http://schemas.openxmlformats.org/officeDocument/2006/relationships/hyperlink" Target="https://dailymed.nlm.nih.gov/dailymed/drugInfo.cfm?setid=358764ca-4c69-d516-af0c-bf8a348d26ca" TargetMode="External"/><Relationship Id="rId152" Type="http://schemas.openxmlformats.org/officeDocument/2006/relationships/hyperlink" Target="https://www.clinicaltrials.gov/ct2/help/how-find/basic" TargetMode="External"/><Relationship Id="rId173" Type="http://schemas.openxmlformats.org/officeDocument/2006/relationships/hyperlink" Target="https://www.clinicaltrials.gov/ct2/help/glossary/open-studies" TargetMode="External"/><Relationship Id="rId194" Type="http://schemas.openxmlformats.org/officeDocument/2006/relationships/hyperlink" Target="https://www.clinicaltrials.gov/ct/search?submit=Search&amp;term=Decitabine" TargetMode="External"/><Relationship Id="rId199" Type="http://schemas.openxmlformats.org/officeDocument/2006/relationships/hyperlink" Target="https://www.clinicaltrials.gov/ct2/results?term=Decitabine&amp;pg=13" TargetMode="External"/><Relationship Id="rId19" Type="http://schemas.openxmlformats.org/officeDocument/2006/relationships/hyperlink" Target="https://www.clinicaltrials.gov/ct/search?submit=Search&amp;term=Decitabine" TargetMode="External"/><Relationship Id="rId14" Type="http://schemas.openxmlformats.org/officeDocument/2006/relationships/hyperlink" Target="https://www.accessdata.fda.gov/scripts/medwatch/" TargetMode="External"/><Relationship Id="rId30" Type="http://schemas.openxmlformats.org/officeDocument/2006/relationships/hyperlink" Target="https://dailymed.nlm.nih.gov/dailymed/fda/fdaDrugXsl.cfm?setid=358764ca-4c69-d516-af0c-bf8a348d26ca&amp;type=display" TargetMode="External"/><Relationship Id="rId35" Type="http://schemas.openxmlformats.org/officeDocument/2006/relationships/hyperlink" Target="https://dailymed.nlm.nih.gov/dailymed/drugInfo.cfm?setid=358764ca-4c69-d516-af0c-bf8a348d26ca" TargetMode="External"/><Relationship Id="rId56" Type="http://schemas.openxmlformats.org/officeDocument/2006/relationships/hyperlink" Target="https://dailymed.nlm.nih.gov/dailymed/drugInfo.cfm?setid=358764ca-4c69-d516-af0c-bf8a348d26ca" TargetMode="External"/><Relationship Id="rId77" Type="http://schemas.openxmlformats.org/officeDocument/2006/relationships/hyperlink" Target="https://dailymed.nlm.nih.gov/dailymed/drugInfo.cfm?setid=358764ca-4c69-d516-af0c-bf8a348d26ca" TargetMode="External"/><Relationship Id="rId100" Type="http://schemas.openxmlformats.org/officeDocument/2006/relationships/hyperlink" Target="https://dailymed.nlm.nih.gov/dailymed/drugInfo.cfm?setid=358764ca-4c69-d516-af0c-bf8a348d26ca" TargetMode="External"/><Relationship Id="rId105" Type="http://schemas.openxmlformats.org/officeDocument/2006/relationships/hyperlink" Target="https://dailymed.nlm.nih.gov/dailymed/drugInfo.cfm?setid=358764ca-4c69-d516-af0c-bf8a348d26ca" TargetMode="External"/><Relationship Id="rId126" Type="http://schemas.openxmlformats.org/officeDocument/2006/relationships/hyperlink" Target="https://dailymed.nlm.nih.gov/dailymed/drugInfo.cfm?setid=358764ca-4c69-d516-af0c-bf8a348d26ca" TargetMode="External"/><Relationship Id="rId147" Type="http://schemas.openxmlformats.org/officeDocument/2006/relationships/image" Target="media/image5.wmf"/><Relationship Id="rId168" Type="http://schemas.openxmlformats.org/officeDocument/2006/relationships/hyperlink" Target="https://www.clinicaltrials.gov/ct2/results?term=Decitabine&amp;show_flds=Y" TargetMode="External"/><Relationship Id="rId8" Type="http://schemas.openxmlformats.org/officeDocument/2006/relationships/hyperlink" Target="https://www.addthis.com/bookmark.php?pub=DailyMed&amp;title=DailyMed" TargetMode="External"/><Relationship Id="rId51" Type="http://schemas.openxmlformats.org/officeDocument/2006/relationships/hyperlink" Target="https://dailymed.nlm.nih.gov/dailymed/drugInfo.cfm?setid=358764ca-4c69-d516-af0c-bf8a348d26ca" TargetMode="External"/><Relationship Id="rId72" Type="http://schemas.openxmlformats.org/officeDocument/2006/relationships/hyperlink" Target="https://dailymed.nlm.nih.gov/dailymed/drugInfo.cfm?setid=358764ca-4c69-d516-af0c-bf8a348d26ca" TargetMode="External"/><Relationship Id="rId93" Type="http://schemas.openxmlformats.org/officeDocument/2006/relationships/hyperlink" Target="https://dailymed.nlm.nih.gov/dailymed/drugInfo.cfm?setid=358764ca-4c69-d516-af0c-bf8a348d26ca" TargetMode="External"/><Relationship Id="rId98" Type="http://schemas.openxmlformats.org/officeDocument/2006/relationships/hyperlink" Target="https://dailymed.nlm.nih.gov/dailymed/drugInfo.cfm?setid=358764ca-4c69-d516-af0c-bf8a348d26ca" TargetMode="External"/><Relationship Id="rId121" Type="http://schemas.openxmlformats.org/officeDocument/2006/relationships/image" Target="media/image3.jpeg"/><Relationship Id="rId142" Type="http://schemas.openxmlformats.org/officeDocument/2006/relationships/hyperlink" Target="https://dailymed.nlm.nih.gov/dailymed/drugInfo.cfm?setid=358764ca-4c69-d516-af0c-bf8a348d26ca" TargetMode="External"/><Relationship Id="rId163" Type="http://schemas.openxmlformats.org/officeDocument/2006/relationships/hyperlink" Target="https://www.clinicaltrials.gov/ct2/results/refine?term=Decitabine" TargetMode="External"/><Relationship Id="rId184" Type="http://schemas.openxmlformats.org/officeDocument/2006/relationships/hyperlink" Target="https://www.clinicaltrials.gov/ct2/show/NCT00477386?term=Decitabine&amp;rank=11" TargetMode="External"/><Relationship Id="rId189" Type="http://schemas.openxmlformats.org/officeDocument/2006/relationships/hyperlink" Target="https://www.clinicaltrials.gov/ct2/show/NCT02499861?term=Decitabine&amp;rank=16" TargetMode="External"/><Relationship Id="rId3" Type="http://schemas.microsoft.com/office/2007/relationships/stylesWithEffects" Target="stylesWithEffects.xml"/><Relationship Id="rId25" Type="http://schemas.openxmlformats.org/officeDocument/2006/relationships/hyperlink" Target="https://dailymed.nlm.nih.gov/dailymed/drugInfo.cfm?setid=358764ca-4c69-d516-af0c-bf8a348d26ca" TargetMode="External"/><Relationship Id="rId46" Type="http://schemas.openxmlformats.org/officeDocument/2006/relationships/hyperlink" Target="https://dailymed.nlm.nih.gov/dailymed/drugInfo.cfm?setid=358764ca-4c69-d516-af0c-bf8a348d26ca" TargetMode="External"/><Relationship Id="rId67" Type="http://schemas.openxmlformats.org/officeDocument/2006/relationships/hyperlink" Target="https://dailymed.nlm.nih.gov/dailymed/drugInfo.cfm?setid=358764ca-4c69-d516-af0c-bf8a348d26ca" TargetMode="External"/><Relationship Id="rId116" Type="http://schemas.openxmlformats.org/officeDocument/2006/relationships/hyperlink" Target="https://dailymed.nlm.nih.gov/dailymed/drugInfo.cfm?setid=358764ca-4c69-d516-af0c-bf8a348d26ca" TargetMode="External"/><Relationship Id="rId137" Type="http://schemas.openxmlformats.org/officeDocument/2006/relationships/hyperlink" Target="https://dailymed.nlm.nih.gov/dailymed/drugInfo.cfm?setid=358764ca-4c69-d516-af0c-bf8a348d26ca" TargetMode="External"/><Relationship Id="rId158" Type="http://schemas.openxmlformats.org/officeDocument/2006/relationships/hyperlink" Target="https://www.clinicaltrials.gov/ct2/resources" TargetMode="External"/><Relationship Id="rId20" Type="http://schemas.openxmlformats.org/officeDocument/2006/relationships/hyperlink" Target="https://dailymed.nlm.nih.gov/dailymed/drugInfo.cfm?setid=358764ca-4c69-d516-af0c-bf8a348d26ca" TargetMode="External"/><Relationship Id="rId41" Type="http://schemas.openxmlformats.org/officeDocument/2006/relationships/hyperlink" Target="https://dailymed.nlm.nih.gov/dailymed/drugInfo.cfm?setid=358764ca-4c69-d516-af0c-bf8a348d26ca" TargetMode="External"/><Relationship Id="rId62" Type="http://schemas.openxmlformats.org/officeDocument/2006/relationships/hyperlink" Target="https://dailymed.nlm.nih.gov/dailymed/drugInfo.cfm?setid=358764ca-4c69-d516-af0c-bf8a348d26ca" TargetMode="External"/><Relationship Id="rId83" Type="http://schemas.openxmlformats.org/officeDocument/2006/relationships/hyperlink" Target="https://dailymed.nlm.nih.gov/dailymed/drugInfo.cfm?setid=358764ca-4c69-d516-af0c-bf8a348d26ca" TargetMode="External"/><Relationship Id="rId88" Type="http://schemas.openxmlformats.org/officeDocument/2006/relationships/hyperlink" Target="https://dailymed.nlm.nih.gov/dailymed/drugInfo.cfm?setid=358764ca-4c69-d516-af0c-bf8a348d26ca" TargetMode="External"/><Relationship Id="rId111" Type="http://schemas.openxmlformats.org/officeDocument/2006/relationships/hyperlink" Target="https://dailymed.nlm.nih.gov/dailymed/drugInfo.cfm?setid=358764ca-4c69-d516-af0c-bf8a348d26ca" TargetMode="External"/><Relationship Id="rId132" Type="http://schemas.openxmlformats.org/officeDocument/2006/relationships/hyperlink" Target="https://dailymed.nlm.nih.gov/dailymed/drugInfo.cfm?setid=358764ca-4c69-d516-af0c-bf8a348d26ca" TargetMode="External"/><Relationship Id="rId153" Type="http://schemas.openxmlformats.org/officeDocument/2006/relationships/hyperlink" Target="https://www.clinicaltrials.gov/ct2/search/browse?brwse=cond_cat" TargetMode="External"/><Relationship Id="rId174" Type="http://schemas.openxmlformats.org/officeDocument/2006/relationships/hyperlink" Target="https://www.clinicaltrials.gov/ct2/show/NCT01277484?term=Decitabine&amp;rank=1" TargetMode="External"/><Relationship Id="rId179" Type="http://schemas.openxmlformats.org/officeDocument/2006/relationships/hyperlink" Target="https://www.clinicaltrials.gov/ct2/show/NCT00744757?term=Decitabine&amp;rank=6" TargetMode="External"/><Relationship Id="rId195" Type="http://schemas.openxmlformats.org/officeDocument/2006/relationships/image" Target="media/image8.gif"/><Relationship Id="rId190" Type="http://schemas.openxmlformats.org/officeDocument/2006/relationships/hyperlink" Target="https://www.clinicaltrials.gov/ct2/show/NCT02234037?term=Decitabine&amp;rank=17" TargetMode="External"/><Relationship Id="rId15" Type="http://schemas.openxmlformats.org/officeDocument/2006/relationships/hyperlink" Target="http://www.fda.gov/Safety/Recalls/" TargetMode="External"/><Relationship Id="rId36" Type="http://schemas.openxmlformats.org/officeDocument/2006/relationships/hyperlink" Target="https://dailymed.nlm.nih.gov/dailymed/drugInfo.cfm?setid=358764ca-4c69-d516-af0c-bf8a348d26ca" TargetMode="External"/><Relationship Id="rId57" Type="http://schemas.openxmlformats.org/officeDocument/2006/relationships/hyperlink" Target="https://dailymed.nlm.nih.gov/dailymed/drugInfo.cfm?setid=358764ca-4c69-d516-af0c-bf8a348d26ca" TargetMode="External"/><Relationship Id="rId106" Type="http://schemas.openxmlformats.org/officeDocument/2006/relationships/hyperlink" Target="https://dailymed.nlm.nih.gov/dailymed/drugInfo.cfm?setid=358764ca-4c69-d516-af0c-bf8a348d26ca" TargetMode="External"/><Relationship Id="rId127" Type="http://schemas.openxmlformats.org/officeDocument/2006/relationships/hyperlink" Target="https://dailymed.nlm.nih.gov/dailymed/drugInfo.cfm?setid=358764ca-4c69-d516-af0c-bf8a348d26ca" TargetMode="External"/><Relationship Id="rId10" Type="http://schemas.openxmlformats.org/officeDocument/2006/relationships/image" Target="media/image1.jpeg"/><Relationship Id="rId31" Type="http://schemas.openxmlformats.org/officeDocument/2006/relationships/hyperlink" Target="https://dailymed.nlm.nih.gov/dailymed/drugInfo.cfm?setid=358764ca-4c69-d516-af0c-bf8a348d26ca" TargetMode="External"/><Relationship Id="rId52" Type="http://schemas.openxmlformats.org/officeDocument/2006/relationships/hyperlink" Target="https://dailymed.nlm.nih.gov/dailymed/drugInfo.cfm?setid=358764ca-4c69-d516-af0c-bf8a348d26ca" TargetMode="External"/><Relationship Id="rId73" Type="http://schemas.openxmlformats.org/officeDocument/2006/relationships/hyperlink" Target="https://dailymed.nlm.nih.gov/dailymed/drugInfo.cfm?setid=358764ca-4c69-d516-af0c-bf8a348d26ca" TargetMode="External"/><Relationship Id="rId78" Type="http://schemas.openxmlformats.org/officeDocument/2006/relationships/hyperlink" Target="https://dailymed.nlm.nih.gov/dailymed/drugInfo.cfm?setid=358764ca-4c69-d516-af0c-bf8a348d26ca" TargetMode="External"/><Relationship Id="rId94" Type="http://schemas.openxmlformats.org/officeDocument/2006/relationships/hyperlink" Target="https://dailymed.nlm.nih.gov/dailymed/drugInfo.cfm?setid=358764ca-4c69-d516-af0c-bf8a348d26ca" TargetMode="External"/><Relationship Id="rId99" Type="http://schemas.openxmlformats.org/officeDocument/2006/relationships/hyperlink" Target="https://dailymed.nlm.nih.gov/dailymed/drugInfo.cfm?setid=358764ca-4c69-d516-af0c-bf8a348d26ca" TargetMode="External"/><Relationship Id="rId101" Type="http://schemas.openxmlformats.org/officeDocument/2006/relationships/hyperlink" Target="https://dailymed.nlm.nih.gov/dailymed/drugInfo.cfm?setid=358764ca-4c69-d516-af0c-bf8a348d26ca" TargetMode="External"/><Relationship Id="rId122" Type="http://schemas.openxmlformats.org/officeDocument/2006/relationships/hyperlink" Target="https://dailymed.nlm.nih.gov/dailymed/drugInfo.cfm?setid=358764ca-4c69-d516-af0c-bf8a348d26ca" TargetMode="External"/><Relationship Id="rId143" Type="http://schemas.openxmlformats.org/officeDocument/2006/relationships/hyperlink" Target="https://dailymed.nlm.nih.gov/dailymed/drugInfo.cfm?setid=358764ca-4c69-d516-af0c-bf8a348d26ca" TargetMode="External"/><Relationship Id="rId148" Type="http://schemas.openxmlformats.org/officeDocument/2006/relationships/control" Target="activeX/activeX1.xml"/><Relationship Id="rId164" Type="http://schemas.openxmlformats.org/officeDocument/2006/relationships/hyperlink" Target="https://www.clinicaltrials.gov/ct2/help/how-use-search-results" TargetMode="External"/><Relationship Id="rId169" Type="http://schemas.openxmlformats.org/officeDocument/2006/relationships/hyperlink" Target="https://www.clinicaltrials.gov/ct2/results?term=Decitabine&amp;show_rss=Y" TargetMode="External"/><Relationship Id="rId185" Type="http://schemas.openxmlformats.org/officeDocument/2006/relationships/hyperlink" Target="https://www.clinicaltrials.gov/ct2/show/NCT00414310?term=Decitabine&amp;rank=12" TargetMode="External"/><Relationship Id="rId4" Type="http://schemas.openxmlformats.org/officeDocument/2006/relationships/settings" Target="settings.xml"/><Relationship Id="rId9" Type="http://schemas.openxmlformats.org/officeDocument/2006/relationships/hyperlink" Target="https://dailymed.nlm.nih.gov/dailymed/image.cfm?type=img&amp;name=vial.jpg&amp;setid=358764ca-4c69-d516-af0c-bf8a348d26ca" TargetMode="External"/><Relationship Id="rId180" Type="http://schemas.openxmlformats.org/officeDocument/2006/relationships/hyperlink" Target="https://www.clinicaltrials.gov/ct2/show/NCT02252107?term=Decitabine&amp;rank=7" TargetMode="External"/><Relationship Id="rId26" Type="http://schemas.openxmlformats.org/officeDocument/2006/relationships/hyperlink" Target="https://dailymed.nlm.nih.gov/dailymed/drugInfo.cfm?setid=358764ca-4c69-d516-af0c-bf8a348d26ca" TargetMode="External"/><Relationship Id="rId47" Type="http://schemas.openxmlformats.org/officeDocument/2006/relationships/hyperlink" Target="https://dailymed.nlm.nih.gov/dailymed/drugInfo.cfm?setid=358764ca-4c69-d516-af0c-bf8a348d26ca" TargetMode="External"/><Relationship Id="rId68" Type="http://schemas.openxmlformats.org/officeDocument/2006/relationships/hyperlink" Target="https://dailymed.nlm.nih.gov/dailymed/drugInfo.cfm?setid=358764ca-4c69-d516-af0c-bf8a348d26ca" TargetMode="External"/><Relationship Id="rId89" Type="http://schemas.openxmlformats.org/officeDocument/2006/relationships/hyperlink" Target="https://dailymed.nlm.nih.gov/dailymed/drugInfo.cfm?setid=358764ca-4c69-d516-af0c-bf8a348d26ca" TargetMode="External"/><Relationship Id="rId112" Type="http://schemas.openxmlformats.org/officeDocument/2006/relationships/hyperlink" Target="https://dailymed.nlm.nih.gov/dailymed/drugInfo.cfm?setid=358764ca-4c69-d516-af0c-bf8a348d26ca" TargetMode="External"/><Relationship Id="rId133" Type="http://schemas.openxmlformats.org/officeDocument/2006/relationships/hyperlink" Target="https://dailymed.nlm.nih.gov/dailymed/drugInfo.cfm?setid=358764ca-4c69-d516-af0c-bf8a348d26ca" TargetMode="External"/><Relationship Id="rId154" Type="http://schemas.openxmlformats.org/officeDocument/2006/relationships/hyperlink" Target="https://www.clinicaltrials.gov/ct2/about-studies/glossary" TargetMode="External"/><Relationship Id="rId175" Type="http://schemas.openxmlformats.org/officeDocument/2006/relationships/hyperlink" Target="https://www.clinicaltrials.gov/ct2/show/NCT02316028?term=Decitabine&amp;rank=2"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0-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16</Pages>
  <Words>10702</Words>
  <Characters>61008</Characters>
  <Application>Microsoft Office Word</Application>
  <DocSecurity>0</DocSecurity>
  <Lines>508</Lines>
  <Paragraphs>143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71567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2017-01-23T10:36:00Z</dcterms:created>
  <dcterms:modified xsi:type="dcterms:W3CDTF">2017-01-23T10:48:00Z</dcterms:modified>
</cp:coreProperties>
</file>